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4B530" w14:textId="77777777" w:rsidR="00EC5413" w:rsidRPr="009039BA" w:rsidRDefault="00EC5413">
      <w:pPr>
        <w:rPr>
          <w:b/>
          <w:bCs/>
        </w:rPr>
      </w:pPr>
    </w:p>
    <w:p w14:paraId="4FF4B531" w14:textId="77777777" w:rsidR="00EC5413" w:rsidRDefault="00EC5413"/>
    <w:p w14:paraId="4FF4B532" w14:textId="77777777" w:rsidR="00EC5413" w:rsidRDefault="00EC5413"/>
    <w:p w14:paraId="4FF4B533" w14:textId="77777777" w:rsidR="00EC5413" w:rsidRDefault="00EC5413"/>
    <w:p w14:paraId="4FF4B534" w14:textId="77777777" w:rsidR="00EC5413" w:rsidRDefault="00EC5413"/>
    <w:p w14:paraId="4FF4B535" w14:textId="77777777" w:rsidR="00EC5413" w:rsidRDefault="00EC5413"/>
    <w:p w14:paraId="4FF4B536" w14:textId="77777777" w:rsidR="00EC5413" w:rsidRDefault="00EC5413"/>
    <w:p w14:paraId="4FF4B537" w14:textId="77777777" w:rsidR="00EC5413" w:rsidRDefault="00EC5413"/>
    <w:p w14:paraId="4FF4B538" w14:textId="77777777" w:rsidR="00EC5413" w:rsidRDefault="00EC5413"/>
    <w:p w14:paraId="4FF4B539" w14:textId="77777777" w:rsidR="00EC5413" w:rsidRDefault="00EC5413"/>
    <w:p w14:paraId="4FF4B53A" w14:textId="77777777" w:rsidR="00EC5413" w:rsidRDefault="00EC5413"/>
    <w:p w14:paraId="4FF4B53B" w14:textId="77777777" w:rsidR="00EC5413" w:rsidRDefault="00EC5413"/>
    <w:p w14:paraId="4FF4B53C" w14:textId="77777777" w:rsidR="00EC5413" w:rsidRDefault="00EC5413"/>
    <w:p w14:paraId="4FF4B53D" w14:textId="77777777" w:rsidR="00EC5413" w:rsidRDefault="00EC5413"/>
    <w:p w14:paraId="4FF4B53E" w14:textId="77777777" w:rsidR="00EC5413" w:rsidRDefault="00EC5413"/>
    <w:p w14:paraId="4FF4B53F" w14:textId="77777777" w:rsidR="00EC5413" w:rsidRDefault="00EC5413"/>
    <w:p w14:paraId="4FF4B540" w14:textId="77777777" w:rsidR="00EC5413" w:rsidRDefault="00EC5413"/>
    <w:p w14:paraId="4FF4B541" w14:textId="77777777" w:rsidR="00EC5413" w:rsidRDefault="00EC5413"/>
    <w:p w14:paraId="4FF4B542" w14:textId="77777777" w:rsidR="00EC5413" w:rsidRDefault="00EC5413"/>
    <w:p w14:paraId="4FF4B543" w14:textId="77777777" w:rsidR="00EC5413" w:rsidRDefault="00EC5413"/>
    <w:p w14:paraId="4FF4B544" w14:textId="77777777" w:rsidR="00EC5413" w:rsidRDefault="00EC5413"/>
    <w:p w14:paraId="4FF4B545" w14:textId="77777777" w:rsidR="00EC5413" w:rsidRDefault="00EC5413"/>
    <w:p w14:paraId="4FF4B546" w14:textId="77777777" w:rsidR="00EC5413" w:rsidRDefault="00EC5413"/>
    <w:p w14:paraId="4FF4B547" w14:textId="77777777" w:rsidR="00EC5413" w:rsidRPr="000A0553" w:rsidRDefault="00EC5413" w:rsidP="0079404B">
      <w:pPr>
        <w:jc w:val="center"/>
      </w:pPr>
      <w:r w:rsidRPr="0079404B">
        <w:rPr>
          <w:b/>
          <w:bCs/>
        </w:rPr>
        <w:t>ANEXO I</w:t>
      </w:r>
    </w:p>
    <w:p w14:paraId="4FF4B548" w14:textId="77777777" w:rsidR="00EC5413" w:rsidRDefault="00EC5413"/>
    <w:p w14:paraId="4FF4B549" w14:textId="77777777" w:rsidR="00EC5413" w:rsidRDefault="00EC5413">
      <w:pPr>
        <w:pStyle w:val="TitleA"/>
      </w:pPr>
      <w:r>
        <w:t>FICHA TÉCNICA O RESUMEN DE LAS CARACTERÍSTICAS DEL PRODUCTO</w:t>
      </w:r>
    </w:p>
    <w:p w14:paraId="4FF4B54A" w14:textId="77777777" w:rsidR="00EC5413" w:rsidRDefault="00EC5413">
      <w:r>
        <w:br w:type="page"/>
      </w:r>
    </w:p>
    <w:p w14:paraId="4FF4B54E" w14:textId="77777777" w:rsidR="00EC5413" w:rsidRDefault="00EC5413">
      <w:pPr>
        <w:pStyle w:val="Heading1"/>
      </w:pPr>
      <w:r>
        <w:lastRenderedPageBreak/>
        <w:t>1.</w:t>
      </w:r>
      <w:r>
        <w:tab/>
        <w:t>NOMBRE DEL MEDICAMENTO</w:t>
      </w:r>
    </w:p>
    <w:p w14:paraId="4FF4B54F" w14:textId="77777777" w:rsidR="00EC5413" w:rsidRDefault="00EC5413">
      <w:pPr>
        <w:keepNext/>
      </w:pPr>
    </w:p>
    <w:p w14:paraId="4FF4B550" w14:textId="77777777" w:rsidR="00EC5413" w:rsidRDefault="00EC5413">
      <w:r>
        <w:t>Vaxchora polvo efervescente y polvo para suspensión oral</w:t>
      </w:r>
    </w:p>
    <w:p w14:paraId="4FF4B551" w14:textId="77777777" w:rsidR="00EC5413" w:rsidRDefault="00EC5413">
      <w:r>
        <w:t>Vacuna frente al cólera (recombinante, viva, oral)</w:t>
      </w:r>
    </w:p>
    <w:p w14:paraId="4FF4B552" w14:textId="77777777" w:rsidR="00EC5413" w:rsidRDefault="00EC5413"/>
    <w:p w14:paraId="4FF4B553" w14:textId="77777777" w:rsidR="00EC5413" w:rsidRDefault="00EC5413"/>
    <w:p w14:paraId="4FF4B554" w14:textId="77777777" w:rsidR="00EC5413" w:rsidRDefault="00EC5413">
      <w:pPr>
        <w:pStyle w:val="Heading1"/>
      </w:pPr>
      <w:r>
        <w:t>2.</w:t>
      </w:r>
      <w:r>
        <w:tab/>
        <w:t>COMPOSICIÓN CUALITATIVA Y CUANTITATIVA</w:t>
      </w:r>
    </w:p>
    <w:p w14:paraId="4FF4B555" w14:textId="77777777" w:rsidR="00EC5413" w:rsidRDefault="00EC5413">
      <w:pPr>
        <w:keepNext/>
      </w:pPr>
    </w:p>
    <w:p w14:paraId="4FF4B556" w14:textId="4A6403D0" w:rsidR="00EC5413" w:rsidRDefault="00EC5413">
      <w:r>
        <w:t>Cada dosis de la vacuna contiene de 4 × 10</w:t>
      </w:r>
      <w:r>
        <w:rPr>
          <w:rStyle w:val="Superscript"/>
        </w:rPr>
        <w:t>8</w:t>
      </w:r>
      <w:r>
        <w:t xml:space="preserve"> a 2 × 10</w:t>
      </w:r>
      <w:r>
        <w:rPr>
          <w:rStyle w:val="Superscript"/>
        </w:rPr>
        <w:t>9</w:t>
      </w:r>
      <w:r>
        <w:t> células viables de la cepa CVD 103</w:t>
      </w:r>
      <w:r>
        <w:noBreakHyphen/>
        <w:t xml:space="preserve">HgR de </w:t>
      </w:r>
      <w:r>
        <w:rPr>
          <w:rStyle w:val="Emphasis"/>
        </w:rPr>
        <w:t>Vibrio</w:t>
      </w:r>
      <w:r>
        <w:t xml:space="preserve"> </w:t>
      </w:r>
      <w:r>
        <w:rPr>
          <w:rStyle w:val="Emphasis"/>
        </w:rPr>
        <w:t>cholerae</w:t>
      </w:r>
      <w:r>
        <w:t xml:space="preserve"> viva y atenuada</w:t>
      </w:r>
      <w:r>
        <w:rPr>
          <w:rStyle w:val="Superscript"/>
        </w:rPr>
        <w:t>1</w:t>
      </w:r>
      <w:r>
        <w:t>.</w:t>
      </w:r>
    </w:p>
    <w:p w14:paraId="4FF4B557" w14:textId="77777777" w:rsidR="00EC5413" w:rsidRDefault="00EC5413"/>
    <w:p w14:paraId="4FF4B558" w14:textId="77777777" w:rsidR="00EC5413" w:rsidRDefault="00EC5413">
      <w:r>
        <w:rPr>
          <w:rStyle w:val="Superscript"/>
        </w:rPr>
        <w:t>1</w:t>
      </w:r>
      <w:r>
        <w:t xml:space="preserve"> Producida mediante tecnología de ADN recombinante.</w:t>
      </w:r>
    </w:p>
    <w:p w14:paraId="4FF4B559" w14:textId="77777777" w:rsidR="00EC5413" w:rsidRPr="0079404B" w:rsidRDefault="00EC5413">
      <w:pPr>
        <w:rPr>
          <w:b/>
          <w:bCs/>
        </w:rPr>
      </w:pPr>
    </w:p>
    <w:p w14:paraId="4FF4B55A" w14:textId="77777777" w:rsidR="00EC5413" w:rsidRDefault="00EC5413">
      <w:r>
        <w:t>Este medicamento contiene organismos modificados genéticamente (OGM).</w:t>
      </w:r>
    </w:p>
    <w:p w14:paraId="4FF4B55B" w14:textId="77777777" w:rsidR="00EC5413" w:rsidRDefault="00EC5413"/>
    <w:p w14:paraId="4FF4B55C" w14:textId="65C620F3" w:rsidR="00EC5413" w:rsidRDefault="006D0E56">
      <w:r>
        <w:rPr>
          <w:u w:val="single"/>
        </w:rPr>
        <w:t>Excipientes</w:t>
      </w:r>
      <w:r w:rsidR="00EC5413" w:rsidRPr="0079404B">
        <w:rPr>
          <w:u w:val="single"/>
        </w:rPr>
        <w:t xml:space="preserve"> con efecto conocido</w:t>
      </w:r>
    </w:p>
    <w:p w14:paraId="4FF4B55D" w14:textId="77777777" w:rsidR="00EC5413" w:rsidRDefault="00EC5413"/>
    <w:p w14:paraId="4FF4B55E" w14:textId="5A49A40D" w:rsidR="00EC5413" w:rsidRDefault="00EC5413">
      <w:r>
        <w:t>Cada dosis de la vacuna contiene aproximadamente 2,3 gramos de lactosa, 12,5 miligramos de sacarosa y 863 miligramos de sodio.</w:t>
      </w:r>
    </w:p>
    <w:p w14:paraId="4FF4B55F" w14:textId="77777777" w:rsidR="00EC5413" w:rsidRDefault="00EC5413"/>
    <w:p w14:paraId="4FF4B560" w14:textId="77777777" w:rsidR="00EC5413" w:rsidRDefault="00EC5413">
      <w:r>
        <w:t>Para consultar la lista completa de excipientes, ver sección 6.1.</w:t>
      </w:r>
    </w:p>
    <w:p w14:paraId="4FF4B561" w14:textId="77777777" w:rsidR="00EC5413" w:rsidRDefault="00EC5413"/>
    <w:p w14:paraId="4FF4B562" w14:textId="77777777" w:rsidR="00EC5413" w:rsidRDefault="00EC5413"/>
    <w:p w14:paraId="4FF4B563" w14:textId="77777777" w:rsidR="00EC5413" w:rsidRDefault="00EC5413">
      <w:pPr>
        <w:pStyle w:val="Heading1"/>
      </w:pPr>
      <w:r>
        <w:t>3.</w:t>
      </w:r>
      <w:r>
        <w:tab/>
        <w:t>FORMA FARMACÉUTICA</w:t>
      </w:r>
    </w:p>
    <w:p w14:paraId="4FF4B564" w14:textId="77777777" w:rsidR="00EC5413" w:rsidRDefault="00EC5413">
      <w:pPr>
        <w:keepNext/>
      </w:pPr>
    </w:p>
    <w:p w14:paraId="4FF4B566" w14:textId="56277624" w:rsidR="00EC5413" w:rsidRDefault="00EC5413">
      <w:r>
        <w:t>Polvo efervescente y polvo para suspensión oral.</w:t>
      </w:r>
    </w:p>
    <w:p w14:paraId="4FF4B567" w14:textId="54ECD8CF" w:rsidR="00EC5413" w:rsidRDefault="00EC5413">
      <w:r>
        <w:t>Polvo de la solución tampón de blanco a blanquecino y polvo de principio activo de blanco a beige.</w:t>
      </w:r>
    </w:p>
    <w:p w14:paraId="4FF4B568" w14:textId="77777777" w:rsidR="00EC5413" w:rsidRDefault="00EC5413"/>
    <w:p w14:paraId="4FF4B569" w14:textId="77777777" w:rsidR="00EC5413" w:rsidRDefault="00EC5413"/>
    <w:p w14:paraId="4FF4B56A" w14:textId="77777777" w:rsidR="00EC5413" w:rsidRDefault="00EC5413">
      <w:pPr>
        <w:pStyle w:val="Heading1"/>
      </w:pPr>
      <w:r>
        <w:t>4.</w:t>
      </w:r>
      <w:r>
        <w:tab/>
        <w:t>DATOS CLÍNICOS</w:t>
      </w:r>
    </w:p>
    <w:p w14:paraId="4FF4B56B" w14:textId="77777777" w:rsidR="00EC5413" w:rsidRDefault="00EC5413">
      <w:pPr>
        <w:keepNext/>
      </w:pPr>
    </w:p>
    <w:p w14:paraId="4FF4B56C" w14:textId="77777777" w:rsidR="00EC5413" w:rsidRDefault="00EC5413">
      <w:pPr>
        <w:pStyle w:val="Heading2"/>
      </w:pPr>
      <w:r>
        <w:t>4.1</w:t>
      </w:r>
      <w:r>
        <w:tab/>
        <w:t>Indicaciones terapéuticas</w:t>
      </w:r>
    </w:p>
    <w:p w14:paraId="4FF4B56D" w14:textId="77777777" w:rsidR="00EC5413" w:rsidRDefault="00EC5413">
      <w:pPr>
        <w:keepNext/>
      </w:pPr>
    </w:p>
    <w:p w14:paraId="4FF4B56E" w14:textId="1D465E89" w:rsidR="00EC5413" w:rsidRDefault="00EC5413">
      <w:r>
        <w:t xml:space="preserve">Vaxchora está indicado para la inmunización activa contra la enfermedad causada por el serogrupo O1 de </w:t>
      </w:r>
      <w:r>
        <w:rPr>
          <w:rStyle w:val="Emphasis"/>
        </w:rPr>
        <w:t>Vibrio cholerae</w:t>
      </w:r>
      <w:r>
        <w:t xml:space="preserve"> en adultos y niños a partir de 2 años.</w:t>
      </w:r>
    </w:p>
    <w:p w14:paraId="4FF4B56F" w14:textId="77777777" w:rsidR="00EC5413" w:rsidRDefault="00EC5413"/>
    <w:p w14:paraId="4FF4B570" w14:textId="77777777" w:rsidR="00EC5413" w:rsidRDefault="00EC5413">
      <w:r>
        <w:t>Esta vacuna se debe usar de acuerdo con las recomendaciones oficiales.</w:t>
      </w:r>
    </w:p>
    <w:p w14:paraId="4FF4B571" w14:textId="77777777" w:rsidR="00EC5413" w:rsidRDefault="00EC5413"/>
    <w:p w14:paraId="4FF4B572" w14:textId="77777777" w:rsidR="00EC5413" w:rsidRDefault="00EC5413">
      <w:pPr>
        <w:pStyle w:val="Heading2"/>
      </w:pPr>
      <w:r>
        <w:t>4.2</w:t>
      </w:r>
      <w:r>
        <w:tab/>
        <w:t>Posología y forma de administración</w:t>
      </w:r>
    </w:p>
    <w:p w14:paraId="4FF4B573" w14:textId="77777777" w:rsidR="00EC5413" w:rsidRDefault="00EC5413">
      <w:pPr>
        <w:keepNext/>
      </w:pPr>
    </w:p>
    <w:p w14:paraId="4FF4B574" w14:textId="77777777" w:rsidR="00EC5413" w:rsidRDefault="00EC5413">
      <w:pPr>
        <w:pStyle w:val="HeadingUnderlined"/>
      </w:pPr>
      <w:r>
        <w:t>Posología</w:t>
      </w:r>
    </w:p>
    <w:p w14:paraId="4FF4B575" w14:textId="77777777" w:rsidR="00EC5413" w:rsidRDefault="00EC5413"/>
    <w:p w14:paraId="4FF4B577" w14:textId="2FA55F60" w:rsidR="00EC5413" w:rsidRPr="00300219" w:rsidRDefault="00EC5413" w:rsidP="006A74CA">
      <w:pPr>
        <w:pStyle w:val="HeadingStrongEmphasis"/>
      </w:pPr>
      <w:r w:rsidRPr="0031112D">
        <w:rPr>
          <w:b w:val="0"/>
          <w:bCs w:val="0"/>
          <w:i w:val="0"/>
          <w:iCs w:val="0"/>
        </w:rPr>
        <w:t>Adultos y niños a partir de 2</w:t>
      </w:r>
      <w:r w:rsidRPr="008B7EEF">
        <w:rPr>
          <w:b w:val="0"/>
          <w:bCs w:val="0"/>
        </w:rPr>
        <w:t> </w:t>
      </w:r>
      <w:r w:rsidRPr="0031112D">
        <w:rPr>
          <w:b w:val="0"/>
          <w:bCs w:val="0"/>
          <w:i w:val="0"/>
          <w:iCs w:val="0"/>
        </w:rPr>
        <w:t>años</w:t>
      </w:r>
    </w:p>
    <w:p w14:paraId="4FF4B578" w14:textId="77777777" w:rsidR="00EC5413" w:rsidRPr="006A74CA" w:rsidRDefault="00EC5413" w:rsidP="0079404B">
      <w:pPr>
        <w:pStyle w:val="NormalKeep"/>
      </w:pPr>
    </w:p>
    <w:p w14:paraId="4FF4B579" w14:textId="40DA84C3" w:rsidR="00EC5413" w:rsidRDefault="00EC5413">
      <w:r>
        <w:t xml:space="preserve">Se debe administrar una sola dosis oral al menos 10 días antes de la posible exposición al serogrupo O1 de </w:t>
      </w:r>
      <w:r>
        <w:rPr>
          <w:rStyle w:val="Emphasis"/>
        </w:rPr>
        <w:t>Vibrio</w:t>
      </w:r>
      <w:r>
        <w:t xml:space="preserve"> </w:t>
      </w:r>
      <w:r>
        <w:rPr>
          <w:rStyle w:val="Emphasis"/>
        </w:rPr>
        <w:t>cholerae</w:t>
      </w:r>
      <w:r>
        <w:t>.</w:t>
      </w:r>
    </w:p>
    <w:p w14:paraId="4FF4B57A" w14:textId="77777777" w:rsidR="00EC5413" w:rsidRPr="006A74CA" w:rsidRDefault="00EC5413">
      <w:r>
        <w:t>El consumo de menos de la mitad de la dosis puede causar una reducción en la protección. Si se consume menos de la mitad de la dosis, se podría considerar repetir una dosis total de Vaxchora en un plazo de 72 horas</w:t>
      </w:r>
      <w:r w:rsidRPr="006A74CA">
        <w:t>.</w:t>
      </w:r>
    </w:p>
    <w:p w14:paraId="4FF4B57B" w14:textId="77777777" w:rsidR="00EC5413" w:rsidRPr="006A74CA" w:rsidRDefault="00EC5413"/>
    <w:p w14:paraId="4FF4B57C" w14:textId="77777777" w:rsidR="00EC5413" w:rsidRPr="0079404B" w:rsidRDefault="00EC5413">
      <w:pPr>
        <w:pStyle w:val="HeadingStrongEmphasis"/>
        <w:rPr>
          <w:b w:val="0"/>
          <w:bCs w:val="0"/>
        </w:rPr>
      </w:pPr>
      <w:r w:rsidRPr="0079404B">
        <w:rPr>
          <w:b w:val="0"/>
          <w:bCs w:val="0"/>
        </w:rPr>
        <w:t>Revacunación</w:t>
      </w:r>
    </w:p>
    <w:p w14:paraId="4FF4B57D" w14:textId="77777777" w:rsidR="00EC5413" w:rsidRDefault="00EC5413"/>
    <w:p w14:paraId="4FF4B57E" w14:textId="77777777" w:rsidR="00EC5413" w:rsidRDefault="00EC5413">
      <w:r>
        <w:t>No se dispone de datos sobre el intervalo de revacunación.</w:t>
      </w:r>
    </w:p>
    <w:p w14:paraId="4FF4B57F" w14:textId="77777777" w:rsidR="00EC5413" w:rsidRDefault="00EC5413"/>
    <w:p w14:paraId="4FF4B580" w14:textId="77777777" w:rsidR="00EC5413" w:rsidRDefault="00EC5413">
      <w:pPr>
        <w:pStyle w:val="HeadingEmphasis"/>
      </w:pPr>
      <w:r>
        <w:t>Población pediátrica</w:t>
      </w:r>
    </w:p>
    <w:p w14:paraId="4FF4B581" w14:textId="77777777" w:rsidR="00EC5413" w:rsidRDefault="00EC5413"/>
    <w:p w14:paraId="4FF4B582" w14:textId="77777777" w:rsidR="00EC5413" w:rsidRDefault="00EC5413">
      <w:r>
        <w:lastRenderedPageBreak/>
        <w:t>No se ha establecido la seguridad y eficacia de Vaxchora en niños menores de 2 años. No se dispone de datos.</w:t>
      </w:r>
    </w:p>
    <w:p w14:paraId="4FF4B583" w14:textId="77777777" w:rsidR="00EC5413" w:rsidRDefault="00EC5413"/>
    <w:p w14:paraId="4FF4B584" w14:textId="77777777" w:rsidR="00EC5413" w:rsidRDefault="00EC5413">
      <w:pPr>
        <w:pStyle w:val="HeadingUnderlined"/>
      </w:pPr>
      <w:r>
        <w:t>Forma de administración</w:t>
      </w:r>
    </w:p>
    <w:p w14:paraId="4FF4B585" w14:textId="77777777" w:rsidR="00EC5413" w:rsidRDefault="00EC5413"/>
    <w:p w14:paraId="4FF4B586" w14:textId="77777777" w:rsidR="00EC5413" w:rsidRDefault="00EC5413">
      <w:r>
        <w:t>Vía oral.</w:t>
      </w:r>
    </w:p>
    <w:p w14:paraId="4FF4B587" w14:textId="77777777" w:rsidR="00EC5413" w:rsidRDefault="00EC5413"/>
    <w:p w14:paraId="4FF4B588" w14:textId="77777777" w:rsidR="00EC5413" w:rsidRDefault="00EC5413">
      <w:r>
        <w:t>Para consultar las instrucciones de reconstitución de Vaxchora antes de la administración, ver sección 6.6.</w:t>
      </w:r>
    </w:p>
    <w:p w14:paraId="4FF4B589" w14:textId="77777777" w:rsidR="00EC5413" w:rsidRDefault="00EC5413"/>
    <w:p w14:paraId="4FF4B58A" w14:textId="1A2403E9" w:rsidR="00EC5413" w:rsidRDefault="00EC5413">
      <w:r>
        <w:t>Se debe evitar comer y beber 60 minutos antes y después a la ingestión de esta vacuna.</w:t>
      </w:r>
    </w:p>
    <w:p w14:paraId="4FF4B58B" w14:textId="72B6B7AA" w:rsidR="00EC5413" w:rsidRDefault="00EC5413">
      <w:r>
        <w:t>La vacuna reconstituida forma una suspensión ligeramente turbia que puede contener algunas partículas blancas. Tras la reconstitución, la suspensión debe ingerirse en un plazo de 15 minutos. El paciente debe beberse todo el contenido del vaso de una sola vez.</w:t>
      </w:r>
    </w:p>
    <w:p w14:paraId="4FF4B58C" w14:textId="77777777" w:rsidR="00EC5413" w:rsidRDefault="00EC5413" w:rsidP="00D73CCB"/>
    <w:p w14:paraId="4FF4B590" w14:textId="77777777" w:rsidR="00EC5413" w:rsidRDefault="00EC5413">
      <w:pPr>
        <w:pStyle w:val="Heading2"/>
      </w:pPr>
      <w:r>
        <w:t>4.3</w:t>
      </w:r>
      <w:r>
        <w:tab/>
        <w:t>Contraindicaciones</w:t>
      </w:r>
    </w:p>
    <w:p w14:paraId="4FF4B591" w14:textId="77777777" w:rsidR="00EC5413" w:rsidRDefault="00EC5413">
      <w:pPr>
        <w:keepNext/>
      </w:pPr>
    </w:p>
    <w:p w14:paraId="4FF4B592" w14:textId="77777777" w:rsidR="00EC5413" w:rsidRDefault="00EC5413">
      <w:r>
        <w:t>Hipersensibilidad al (a los) principio(s) activo(s) o a alguno de los excipientes incluidos en la sección 6.1.</w:t>
      </w:r>
    </w:p>
    <w:p w14:paraId="4FF4B593" w14:textId="77777777" w:rsidR="00EC5413" w:rsidRDefault="00EC5413"/>
    <w:p w14:paraId="4FF4B596" w14:textId="78B34D64" w:rsidR="00EC5413" w:rsidRDefault="00EC5413">
      <w:r>
        <w:t>Personas con inmunodeficiencia congénita o que reciban tratamiento inmunosupresor.</w:t>
      </w:r>
    </w:p>
    <w:p w14:paraId="4FF4B597" w14:textId="77777777" w:rsidR="00EC5413" w:rsidRDefault="00EC5413"/>
    <w:p w14:paraId="4FF4B598" w14:textId="77777777" w:rsidR="00EC5413" w:rsidRDefault="00EC5413">
      <w:pPr>
        <w:pStyle w:val="Heading2"/>
      </w:pPr>
      <w:r>
        <w:t>4.4</w:t>
      </w:r>
      <w:r>
        <w:tab/>
        <w:t>Advertencias y precauciones especiales de empleo</w:t>
      </w:r>
    </w:p>
    <w:p w14:paraId="4FF4B599" w14:textId="77777777" w:rsidR="00EC5413" w:rsidRDefault="00EC5413"/>
    <w:p w14:paraId="4FF4B59A" w14:textId="77777777" w:rsidR="00EC5413" w:rsidRDefault="00EC5413">
      <w:pPr>
        <w:pStyle w:val="HeadingUnderlined"/>
      </w:pPr>
      <w:r>
        <w:t>Trazabilidad</w:t>
      </w:r>
    </w:p>
    <w:p w14:paraId="4FF4B59B" w14:textId="77777777" w:rsidR="00EC5413" w:rsidRDefault="00EC5413">
      <w:pPr>
        <w:keepNext/>
      </w:pPr>
    </w:p>
    <w:p w14:paraId="4FF4B59C" w14:textId="11ACFB3A" w:rsidR="00EC5413" w:rsidRDefault="00EC5413">
      <w:r>
        <w:t xml:space="preserve">Con objeto de mejorar la trazabilidad de los medicamentos biológicos, el nombre y el número de lote del medicamento administrado </w:t>
      </w:r>
      <w:r w:rsidRPr="007420E6">
        <w:t>debe</w:t>
      </w:r>
      <w:r w:rsidRPr="00825393">
        <w:t>n</w:t>
      </w:r>
      <w:r w:rsidRPr="007420E6">
        <w:t xml:space="preserve"> </w:t>
      </w:r>
      <w:r w:rsidRPr="00825393">
        <w:t>estar</w:t>
      </w:r>
      <w:r w:rsidRPr="007420E6">
        <w:t xml:space="preserve"> claramente registrado</w:t>
      </w:r>
      <w:r w:rsidRPr="00825393">
        <w:t>s</w:t>
      </w:r>
      <w:r>
        <w:t>.</w:t>
      </w:r>
    </w:p>
    <w:p w14:paraId="4FF4B59D" w14:textId="77777777" w:rsidR="00EC5413" w:rsidRDefault="00EC5413"/>
    <w:p w14:paraId="4FF4B59E" w14:textId="77777777" w:rsidR="00EC5413" w:rsidRDefault="00EC5413">
      <w:pPr>
        <w:pStyle w:val="HeadingUnderlined"/>
      </w:pPr>
      <w:r>
        <w:t>Factores que afectan a la protección</w:t>
      </w:r>
    </w:p>
    <w:p w14:paraId="4FF4B59F" w14:textId="77777777" w:rsidR="00EC5413" w:rsidRDefault="00EC5413">
      <w:pPr>
        <w:keepNext/>
      </w:pPr>
    </w:p>
    <w:p w14:paraId="4FF4B5A0" w14:textId="555EBB0D" w:rsidR="00EC5413" w:rsidRDefault="00EC5413">
      <w:r>
        <w:t xml:space="preserve">Vaxchora confiere protección específica frente al serogrupo O1 de </w:t>
      </w:r>
      <w:r>
        <w:rPr>
          <w:rStyle w:val="Emphasis"/>
        </w:rPr>
        <w:t>Vibrio cholerae</w:t>
      </w:r>
      <w:r>
        <w:t xml:space="preserve">. La inmunización no protege contra el serogrupo O139 de </w:t>
      </w:r>
      <w:r>
        <w:rPr>
          <w:rStyle w:val="Emphasis"/>
        </w:rPr>
        <w:t>Vibrio</w:t>
      </w:r>
      <w:r>
        <w:t xml:space="preserve"> </w:t>
      </w:r>
      <w:r>
        <w:rPr>
          <w:rStyle w:val="Emphasis"/>
        </w:rPr>
        <w:t>cholerae</w:t>
      </w:r>
      <w:r>
        <w:t xml:space="preserve"> u otras especies de Vibrio.</w:t>
      </w:r>
    </w:p>
    <w:p w14:paraId="4FF4B5A1" w14:textId="77777777" w:rsidR="00EC5413" w:rsidRDefault="00EC5413"/>
    <w:p w14:paraId="4FF4B5A2" w14:textId="2E3AB81E" w:rsidR="00EC5413" w:rsidRDefault="00EC5413">
      <w:r>
        <w:t>Esta vacuna no proporciona una protección del 100 %. Las personas vacunadas deben seguir los consejos de higiene y tomar precauciones con los alimentos y el agua consumidos en zonas afectadas por el cólera.</w:t>
      </w:r>
    </w:p>
    <w:p w14:paraId="4FF4B5A3" w14:textId="77777777" w:rsidR="00EC5413" w:rsidRDefault="00EC5413"/>
    <w:p w14:paraId="4FF4B5A4" w14:textId="77777777" w:rsidR="00EC5413" w:rsidRDefault="00EC5413">
      <w:r>
        <w:t>No se dispone de datos de personas que vivan en zonas afectadas por el cólera o de personas con inmunidad preexistente contra el cólera.</w:t>
      </w:r>
    </w:p>
    <w:p w14:paraId="4FF4B5A5" w14:textId="77777777" w:rsidR="00EC5413" w:rsidRDefault="00EC5413"/>
    <w:p w14:paraId="4FF4B5A6" w14:textId="1DB61AF0" w:rsidR="00EC5413" w:rsidRDefault="00EC5413">
      <w:r>
        <w:t>La protección que proporciona esta vacuna podría verse reducida en personas infectadas por el VIH.</w:t>
      </w:r>
    </w:p>
    <w:p w14:paraId="4FF4B5A7" w14:textId="77777777" w:rsidR="00EC5413" w:rsidRDefault="00EC5413"/>
    <w:p w14:paraId="4FF4B5A8" w14:textId="77777777" w:rsidR="00EC5413" w:rsidRDefault="00EC5413">
      <w:pPr>
        <w:pStyle w:val="HeadingUnderlined"/>
      </w:pPr>
      <w:r>
        <w:t>Riesgos potenciales a contactos</w:t>
      </w:r>
    </w:p>
    <w:p w14:paraId="4FF4B5A9" w14:textId="77777777" w:rsidR="00EC5413" w:rsidRDefault="00EC5413">
      <w:pPr>
        <w:keepNext/>
      </w:pPr>
    </w:p>
    <w:p w14:paraId="4FF4B5AA" w14:textId="77777777" w:rsidR="00EC5413" w:rsidRDefault="00EC5413">
      <w:r>
        <w:t>La eliminación de Vaxchora en heces se estudió durante 7 días después de la vacunación y se observó su presencia en el 11,3 % de los receptores de la vacuna. Se desconoce la duración de la eliminación en heces de la cepa de la vacuna. Existe la posibilidad de transmisión de la cepa de la vacuna a personas cercanas no vacunadas (por ejemplo, personas que viven en el mismo hogar).</w:t>
      </w:r>
    </w:p>
    <w:p w14:paraId="4FF4B5AB" w14:textId="77777777" w:rsidR="00EC5413" w:rsidRDefault="00EC5413"/>
    <w:p w14:paraId="4FF4B5AC" w14:textId="77777777" w:rsidR="00EC5413" w:rsidRDefault="00EC5413">
      <w:pPr>
        <w:pStyle w:val="HeadingUnderlined"/>
      </w:pPr>
      <w:r>
        <w:t>Administración concomitante con antibacterianos y/o cloroquina</w:t>
      </w:r>
    </w:p>
    <w:p w14:paraId="4FF4B5AD" w14:textId="77777777" w:rsidR="00EC5413" w:rsidRDefault="00EC5413">
      <w:pPr>
        <w:keepNext/>
      </w:pPr>
    </w:p>
    <w:p w14:paraId="4FF4B5AE" w14:textId="5FD4FC15" w:rsidR="00EC5413" w:rsidRDefault="00EC5413">
      <w:r>
        <w:t>Debe evitarse la administración concomitante con antibióticos y/o cloroquina, ya que la protección contra el cólera podría verse disminuida (ver sección 4.5).</w:t>
      </w:r>
    </w:p>
    <w:p w14:paraId="4FF4B5AF" w14:textId="77777777" w:rsidR="00EC5413" w:rsidRDefault="00EC5413"/>
    <w:p w14:paraId="4FF4B5B0" w14:textId="77777777" w:rsidR="00EC5413" w:rsidRDefault="00EC5413">
      <w:pPr>
        <w:pStyle w:val="HeadingUnderlined"/>
      </w:pPr>
      <w:r>
        <w:lastRenderedPageBreak/>
        <w:t>Enfermedad gastrointestinal</w:t>
      </w:r>
    </w:p>
    <w:p w14:paraId="4FF4B5B1" w14:textId="77777777" w:rsidR="00EC5413" w:rsidRDefault="00EC5413">
      <w:pPr>
        <w:keepNext/>
      </w:pPr>
    </w:p>
    <w:p w14:paraId="4FF4B5B2" w14:textId="77777777" w:rsidR="00EC5413" w:rsidRDefault="00EC5413">
      <w:r>
        <w:t>En personas con gastroenteritis aguda, la vacunación debe posponerse hasta después de la recuperación, ya que la protección contra el cólera podría verse disminuida. Se desconoce el grado de protección y los efectos de la vacunación en personas con enfermedad gastrointestinal crónica.</w:t>
      </w:r>
    </w:p>
    <w:p w14:paraId="4FF4B5B3" w14:textId="77777777" w:rsidR="00EC5413" w:rsidRDefault="00EC5413"/>
    <w:p w14:paraId="4FF4B5B4" w14:textId="77777777" w:rsidR="00EC5413" w:rsidRDefault="00EC5413">
      <w:pPr>
        <w:pStyle w:val="HeadingUnderlined"/>
      </w:pPr>
      <w:r>
        <w:t>Limitaciones de los datos clínicos</w:t>
      </w:r>
    </w:p>
    <w:p w14:paraId="4FF4B5B5" w14:textId="77777777" w:rsidR="00EC5413" w:rsidRDefault="00EC5413">
      <w:pPr>
        <w:keepNext/>
      </w:pPr>
    </w:p>
    <w:p w14:paraId="4FF4B5B6" w14:textId="54FF135C" w:rsidR="00EC5413" w:rsidRDefault="00EC5413">
      <w:r>
        <w:t>Los ensayos clínicos se llevaron a cabo en pacientes de 2 a 64 años. La eficacia en humanos se demostró con la exposición al cólera 10 días o 3 meses después de la vacunación en adultos de entre 18</w:t>
      </w:r>
      <w:r>
        <w:noBreakHyphen/>
        <w:t>45 años y con la extrapolación a otras poblaciones en función de la tasa de seroconversión. Se dispone de datos de inmunogenicidad hasta 24 meses después de la vacunación (ver sección 5.1). No se dispone de datos de inmunogenicidad ni de eficacia en personas mayores de 64 años.</w:t>
      </w:r>
    </w:p>
    <w:p w14:paraId="4FF4B5B7" w14:textId="77777777" w:rsidR="00EC5413" w:rsidRDefault="00EC5413"/>
    <w:p w14:paraId="4FF4B5B8" w14:textId="77777777" w:rsidR="00EC5413" w:rsidRDefault="00EC5413">
      <w:pPr>
        <w:pStyle w:val="HeadingUnderlined"/>
      </w:pPr>
      <w:r>
        <w:t>Excipientes</w:t>
      </w:r>
    </w:p>
    <w:p w14:paraId="4FF4B5B9" w14:textId="77777777" w:rsidR="00EC5413" w:rsidRDefault="00EC5413">
      <w:pPr>
        <w:keepNext/>
      </w:pPr>
    </w:p>
    <w:p w14:paraId="4FF4B5BA" w14:textId="77777777" w:rsidR="00EC5413" w:rsidRDefault="00EC5413">
      <w:r>
        <w:t xml:space="preserve">Esta vacuna contiene </w:t>
      </w:r>
      <w:r w:rsidRPr="0079404B">
        <w:t>lactos</w:t>
      </w:r>
      <w:r w:rsidRPr="0014522A">
        <w:t>a</w:t>
      </w:r>
      <w:r>
        <w:t xml:space="preserve">. </w:t>
      </w:r>
      <w:r w:rsidRPr="0014522A">
        <w:t>Los pacientes con intolerancia hederitaria a galactosa, deficiencia total de lactasa o problemas de absorción de glucosa o galactosa no deben tomar este medicamento</w:t>
      </w:r>
      <w:r>
        <w:t>.</w:t>
      </w:r>
    </w:p>
    <w:p w14:paraId="4FF4B5BB" w14:textId="77777777" w:rsidR="00EC5413" w:rsidRDefault="00EC5413"/>
    <w:p w14:paraId="4FF4B5BC" w14:textId="4B336AED" w:rsidR="00EC5413" w:rsidRDefault="00EC5413">
      <w:r>
        <w:t>Esta vacuna contiene sacaro</w:t>
      </w:r>
      <w:r w:rsidRPr="0014522A">
        <w:t>sa</w:t>
      </w:r>
      <w:r>
        <w:t xml:space="preserve">. </w:t>
      </w:r>
      <w:r w:rsidRPr="0014522A">
        <w:t>Los pacientes con intolerancia hereditaria a la fructosa, problemas de absorción a la glucosa o galacto</w:t>
      </w:r>
      <w:r>
        <w:t>sa, o insuficiencia de sacarasa</w:t>
      </w:r>
      <w:r>
        <w:noBreakHyphen/>
      </w:r>
      <w:r w:rsidRPr="0014522A">
        <w:t>isomaltasa, no deben tomar este medicamento</w:t>
      </w:r>
      <w:r>
        <w:t>.</w:t>
      </w:r>
    </w:p>
    <w:p w14:paraId="4FF4B5BD" w14:textId="77777777" w:rsidR="00EC5413" w:rsidRDefault="00EC5413"/>
    <w:p w14:paraId="4FF4B5BE" w14:textId="3FA9B1F0" w:rsidR="00EC5413" w:rsidRDefault="00EC5413">
      <w:r>
        <w:t>Esta vacuna contiene 863 mg de sodio por dosis, equivalente al 43 % de la ingesta máxima diaria de 2 g de sodio recomendada por la OMS para un adulto sano.</w:t>
      </w:r>
    </w:p>
    <w:p w14:paraId="4FF4B5BF" w14:textId="77777777" w:rsidR="00EC5413" w:rsidRDefault="00EC5413"/>
    <w:p w14:paraId="4FF4B5C0" w14:textId="77777777" w:rsidR="00EC5413" w:rsidRDefault="00EC5413">
      <w:pPr>
        <w:pStyle w:val="Heading2"/>
      </w:pPr>
      <w:r>
        <w:t>4.5</w:t>
      </w:r>
      <w:r>
        <w:tab/>
        <w:t>Interacción con otros medicamentos y otras formas de interacción</w:t>
      </w:r>
    </w:p>
    <w:p w14:paraId="4FF4B5C1" w14:textId="77777777" w:rsidR="00EC5413" w:rsidRDefault="00EC5413">
      <w:pPr>
        <w:keepNext/>
      </w:pPr>
    </w:p>
    <w:p w14:paraId="4FF4B5C2" w14:textId="6C1C1F73" w:rsidR="00EC5413" w:rsidRDefault="00EC5413">
      <w:r>
        <w:t>No se han realizado estudios de interacción con Vaxchora; sin embargo, la experiencia clínica y los datos obtenidos de otras vacunas pueden aplicarse a esta vacuna.</w:t>
      </w:r>
    </w:p>
    <w:p w14:paraId="4FF4B5C3" w14:textId="77777777" w:rsidR="00EC5413" w:rsidRDefault="00EC5413"/>
    <w:p w14:paraId="4FF4B5C4" w14:textId="77777777" w:rsidR="00EC5413" w:rsidRPr="0079404B" w:rsidRDefault="00EC5413">
      <w:pPr>
        <w:rPr>
          <w:i/>
          <w:iCs/>
        </w:rPr>
      </w:pPr>
      <w:r w:rsidRPr="0079404B">
        <w:rPr>
          <w:i/>
          <w:iCs/>
        </w:rPr>
        <w:t>Vacuna antitifoidea oral</w:t>
      </w:r>
    </w:p>
    <w:p w14:paraId="4FF4B5C5" w14:textId="77777777" w:rsidR="00EC5413" w:rsidRDefault="00EC5413"/>
    <w:p w14:paraId="4FF4B5C6" w14:textId="3CA11D76" w:rsidR="00EC5413" w:rsidRDefault="00EC5413">
      <w:r>
        <w:t>Debe haber un intervalo de 2 horas entre la administración de esta vacuna y la vacuna antitifoidea Ty21a (cápsulas gastrorresistentes), puesto que la solución tampón administrada con esta vacuna puede afectar al tránsito de la cápsulas a través del tracto gastrointestinal.</w:t>
      </w:r>
    </w:p>
    <w:p w14:paraId="4FF4B5C7" w14:textId="77777777" w:rsidR="00EC5413" w:rsidRDefault="00EC5413"/>
    <w:p w14:paraId="4FF4B5C8" w14:textId="77777777" w:rsidR="00EC5413" w:rsidRDefault="00EC5413">
      <w:pPr>
        <w:rPr>
          <w:i/>
          <w:iCs/>
        </w:rPr>
      </w:pPr>
      <w:r w:rsidRPr="0079404B">
        <w:rPr>
          <w:i/>
          <w:iCs/>
        </w:rPr>
        <w:t>Antibióticos</w:t>
      </w:r>
    </w:p>
    <w:p w14:paraId="4FF4B5C9" w14:textId="77777777" w:rsidR="00EC5413" w:rsidRPr="0079404B" w:rsidRDefault="00EC5413">
      <w:pPr>
        <w:rPr>
          <w:i/>
          <w:iCs/>
        </w:rPr>
      </w:pPr>
    </w:p>
    <w:p w14:paraId="4FF4B5CA" w14:textId="38785D24" w:rsidR="00EC5413" w:rsidRDefault="00EC5413">
      <w:r>
        <w:t xml:space="preserve">Se debe evitar la administración concomitante de esta vacuna con antibióticos sistémicos activos contra </w:t>
      </w:r>
      <w:r>
        <w:rPr>
          <w:rStyle w:val="Emphasis"/>
        </w:rPr>
        <w:t>Vibrio</w:t>
      </w:r>
      <w:r>
        <w:t xml:space="preserve"> </w:t>
      </w:r>
      <w:r>
        <w:rPr>
          <w:rStyle w:val="Emphasis"/>
        </w:rPr>
        <w:t>cholerae</w:t>
      </w:r>
      <w:r>
        <w:t>, puesto que estos fármacos pueden evitar que se alcance un grado de replicación suficiente para inducir una respuesta inmunoprotectora. Esta vacuna no debe administrarse a pacientes que hayan recibido antibióticos orales o parenterales los 14 días antes de la vacunación. Se deben evitar la administración de antibióticos orales o parenterales durante 10 días después de la vacunación con esta vacuna.</w:t>
      </w:r>
    </w:p>
    <w:p w14:paraId="4FF4B5CB" w14:textId="77777777" w:rsidR="00EC5413" w:rsidRDefault="00EC5413"/>
    <w:p w14:paraId="4FF4B5CC" w14:textId="77777777" w:rsidR="00EC5413" w:rsidRPr="0079404B" w:rsidRDefault="00EC5413">
      <w:pPr>
        <w:rPr>
          <w:i/>
          <w:iCs/>
        </w:rPr>
      </w:pPr>
      <w:r w:rsidRPr="0079404B">
        <w:rPr>
          <w:i/>
          <w:iCs/>
        </w:rPr>
        <w:t>Profilaxis antipalúdica</w:t>
      </w:r>
    </w:p>
    <w:p w14:paraId="4FF4B5CD" w14:textId="77777777" w:rsidR="00EC5413" w:rsidRDefault="00EC5413"/>
    <w:p w14:paraId="4FF4B5CE" w14:textId="047266B4" w:rsidR="00EC5413" w:rsidRDefault="00EC5413">
      <w:r>
        <w:t>Los datos obtenidos del estudio de una vacuna anterior basada en CVD 103</w:t>
      </w:r>
      <w:r>
        <w:noBreakHyphen/>
        <w:t>HgR indican que las respuestas inmunitarias a Vaxchora y la protección contra el cólera podrían verse disminuidas cuando esta vacuna se administra junto con cloroquina. Administre esta vacuna como mínimo 10 días antes de empezar la profilaxis antipalúdica con cloroquina. No se dispone de datos relativos al uso concomitante de esta vacuna con otros antipalúdicos.</w:t>
      </w:r>
    </w:p>
    <w:p w14:paraId="4FF4B5CF" w14:textId="77777777" w:rsidR="00EC5413" w:rsidRDefault="00EC5413"/>
    <w:p w14:paraId="4FF4B5D0" w14:textId="77777777" w:rsidR="00EC5413" w:rsidRPr="0079404B" w:rsidRDefault="00EC5413">
      <w:pPr>
        <w:rPr>
          <w:i/>
          <w:iCs/>
        </w:rPr>
      </w:pPr>
      <w:r w:rsidRPr="0079404B">
        <w:rPr>
          <w:i/>
          <w:iCs/>
        </w:rPr>
        <w:t>Alimentos y bebidas</w:t>
      </w:r>
    </w:p>
    <w:p w14:paraId="4FF4B5D1" w14:textId="77777777" w:rsidR="00EC5413" w:rsidRDefault="00EC5413"/>
    <w:p w14:paraId="4FF4B5D2" w14:textId="6981C558" w:rsidR="00EC5413" w:rsidRDefault="00EC5413">
      <w:r>
        <w:lastRenderedPageBreak/>
        <w:t>La vacuna es lábil al medio ácido y se administra con una solución tampón. Se debe evitar comer y beber durante 60 minutos antes y después de la toma de esta vacuna, puesto que podría interferir en el efecto protector de la solución tampón.</w:t>
      </w:r>
    </w:p>
    <w:p w14:paraId="4FF4B5D3" w14:textId="77777777" w:rsidR="00EC5413" w:rsidRDefault="00EC5413"/>
    <w:p w14:paraId="4FF4B5D4" w14:textId="77777777" w:rsidR="00EC5413" w:rsidRDefault="00EC5413">
      <w:pPr>
        <w:pStyle w:val="Heading2"/>
      </w:pPr>
      <w:r>
        <w:t>4.6</w:t>
      </w:r>
      <w:r>
        <w:tab/>
        <w:t>Fertilidad, embarazo y lactancia</w:t>
      </w:r>
    </w:p>
    <w:p w14:paraId="4FF4B5D5" w14:textId="77777777" w:rsidR="00EC5413" w:rsidRDefault="00EC5413">
      <w:pPr>
        <w:keepNext/>
      </w:pPr>
    </w:p>
    <w:p w14:paraId="4FF4B5D6" w14:textId="77777777" w:rsidR="00EC5413" w:rsidRDefault="00EC5413">
      <w:pPr>
        <w:pStyle w:val="HeadingUnderlined"/>
      </w:pPr>
      <w:r>
        <w:t>Embarazo</w:t>
      </w:r>
    </w:p>
    <w:p w14:paraId="4FF4B5D7" w14:textId="77777777" w:rsidR="00EC5413" w:rsidRDefault="00EC5413">
      <w:pPr>
        <w:keepNext/>
      </w:pPr>
    </w:p>
    <w:p w14:paraId="4FF4B5D8" w14:textId="74458699" w:rsidR="00EC5413" w:rsidRDefault="00EC5413">
      <w:r>
        <w:t>Hay datos limitados relativos al uso de Vaxchora en mujeres embarazadas.</w:t>
      </w:r>
    </w:p>
    <w:p w14:paraId="4FF4B5D9" w14:textId="328160A1" w:rsidR="00EC5413" w:rsidRDefault="00EC5413">
      <w:r>
        <w:t>Los estudios realizados en animales son insuficientes en términos de toxicidad para la reproducción (ver sección 5.3).</w:t>
      </w:r>
    </w:p>
    <w:p w14:paraId="4FF4B5DA" w14:textId="2864DFCD" w:rsidR="00EC5413" w:rsidRDefault="00EC5413">
      <w:r>
        <w:t>Esta vacuna solo debe usarse durante el embarazo si las ventajas previstas para la madre superan los posibles riesgos, incluidos los riesgos para el feto.</w:t>
      </w:r>
    </w:p>
    <w:p w14:paraId="4FF4B5DB" w14:textId="77777777" w:rsidR="00EC5413" w:rsidRDefault="00EC5413"/>
    <w:p w14:paraId="4FF4B5DC" w14:textId="77777777" w:rsidR="00EC5413" w:rsidRDefault="00EC5413">
      <w:pPr>
        <w:pStyle w:val="HeadingUnderlined"/>
      </w:pPr>
      <w:r>
        <w:t>Lactancia</w:t>
      </w:r>
    </w:p>
    <w:p w14:paraId="4FF4B5DD" w14:textId="77777777" w:rsidR="00EC5413" w:rsidRDefault="00EC5413">
      <w:pPr>
        <w:keepNext/>
      </w:pPr>
    </w:p>
    <w:p w14:paraId="4FF4B5DE" w14:textId="72DAFBE8" w:rsidR="00EC5413" w:rsidRDefault="00EC5413">
      <w:r>
        <w:t>Se desconoce si Vaxchora se excreta en la leche materna. No se puede excluir el riesgo en el lactante. Se debe decidir si es necesario interrumpir la lactancia o abstenerse de usar esta vacuna tras considerar el beneficio de la lactancia para el niño y el beneficio de la vacuna para la madre.</w:t>
      </w:r>
    </w:p>
    <w:p w14:paraId="4FF4B5DF" w14:textId="77777777" w:rsidR="00EC5413" w:rsidRDefault="00EC5413"/>
    <w:p w14:paraId="4FF4B5E0" w14:textId="77777777" w:rsidR="00EC5413" w:rsidRDefault="00EC5413">
      <w:pPr>
        <w:pStyle w:val="HeadingUnderlined"/>
      </w:pPr>
      <w:r>
        <w:t>Fertilidad</w:t>
      </w:r>
    </w:p>
    <w:p w14:paraId="4FF4B5E1" w14:textId="77777777" w:rsidR="00EC5413" w:rsidRDefault="00EC5413">
      <w:pPr>
        <w:keepNext/>
      </w:pPr>
    </w:p>
    <w:p w14:paraId="4FF4B5E2" w14:textId="23C2DFA6" w:rsidR="00EC5413" w:rsidRDefault="00EC5413">
      <w:r>
        <w:t xml:space="preserve">No se dispone de datos en seres humanos o animales </w:t>
      </w:r>
      <w:r w:rsidR="00300219">
        <w:t xml:space="preserve">al </w:t>
      </w:r>
      <w:r>
        <w:t>respecto de Vaxchora en la fertilidad.</w:t>
      </w:r>
    </w:p>
    <w:p w14:paraId="4FF4B5E3" w14:textId="77777777" w:rsidR="00EC5413" w:rsidRDefault="00EC5413"/>
    <w:p w14:paraId="4FF4B5E4" w14:textId="77777777" w:rsidR="00EC5413" w:rsidRDefault="00EC5413">
      <w:pPr>
        <w:pStyle w:val="Heading2"/>
      </w:pPr>
      <w:r>
        <w:t>4.7</w:t>
      </w:r>
      <w:r>
        <w:tab/>
        <w:t>Efectos sobre la capacidad para conducir y utilizar máquinas</w:t>
      </w:r>
    </w:p>
    <w:p w14:paraId="4FF4B5E5" w14:textId="77777777" w:rsidR="00EC5413" w:rsidRDefault="00EC5413">
      <w:pPr>
        <w:keepNext/>
      </w:pPr>
    </w:p>
    <w:p w14:paraId="4FF4B5E6" w14:textId="54164A29" w:rsidR="00EC5413" w:rsidRDefault="00EC5413">
      <w:r>
        <w:t>La influencia de Vaxchora sobre la capacidad para conducir y utilizar máquinas es nula o insignificante. No obstante, algunos de los efectos mecionados en la sección 4.8 (</w:t>
      </w:r>
      <w:r w:rsidR="00077D76">
        <w:t>p</w:t>
      </w:r>
      <w:r w:rsidR="00071F41">
        <w:t>or ejemplo</w:t>
      </w:r>
      <w:r w:rsidR="00077D76">
        <w:t xml:space="preserve">, </w:t>
      </w:r>
      <w:r w:rsidR="00483458">
        <w:t>cansancio</w:t>
      </w:r>
      <w:r w:rsidR="00077D76">
        <w:t>, mareo</w:t>
      </w:r>
      <w:r>
        <w:t>) pueden afectar temporalmente a la capacidad</w:t>
      </w:r>
      <w:r w:rsidRPr="006D4BAB">
        <w:t xml:space="preserve"> </w:t>
      </w:r>
      <w:r>
        <w:t>para conducir o utilizar máquinas.</w:t>
      </w:r>
    </w:p>
    <w:p w14:paraId="4FF4B5E7" w14:textId="3A40D754" w:rsidR="00EC5413" w:rsidRPr="00483458" w:rsidRDefault="00EC5413"/>
    <w:p w14:paraId="4FF4B5E8" w14:textId="77777777" w:rsidR="00EC5413" w:rsidRDefault="00EC5413">
      <w:pPr>
        <w:pStyle w:val="Heading2"/>
      </w:pPr>
      <w:r>
        <w:t>4.8</w:t>
      </w:r>
      <w:r>
        <w:tab/>
        <w:t>Reacciones adversas</w:t>
      </w:r>
    </w:p>
    <w:p w14:paraId="4FF4B5E9" w14:textId="77777777" w:rsidR="00EC5413" w:rsidRDefault="00EC5413">
      <w:pPr>
        <w:keepNext/>
      </w:pPr>
    </w:p>
    <w:p w14:paraId="4FF4B5EA" w14:textId="77777777" w:rsidR="00EC5413" w:rsidRDefault="00EC5413">
      <w:pPr>
        <w:pStyle w:val="HeadingUnderlined"/>
      </w:pPr>
      <w:r>
        <w:t>Resumen del perfil de seguridad</w:t>
      </w:r>
    </w:p>
    <w:p w14:paraId="4FF4B5EB" w14:textId="77777777" w:rsidR="00EC5413" w:rsidRDefault="00EC5413">
      <w:pPr>
        <w:keepNext/>
      </w:pPr>
    </w:p>
    <w:p w14:paraId="4FF4B5EC" w14:textId="69AA216D" w:rsidR="00EC5413" w:rsidRDefault="00EC5413">
      <w:r>
        <w:t>Las reacciones adversas más frecuentes notificadas después de la administración de Vaxchora son cansancio (30,2 %), cefalea (28,3 %), dolor abdominal (18,4 %), náuseas o vómitos (17,</w:t>
      </w:r>
      <w:r w:rsidR="007E7DAE">
        <w:t>9</w:t>
      </w:r>
      <w:r>
        <w:t xml:space="preserve"> %) y </w:t>
      </w:r>
      <w:r w:rsidR="007E7DAE">
        <w:t xml:space="preserve">disminución </w:t>
      </w:r>
      <w:r>
        <w:t>de</w:t>
      </w:r>
      <w:r w:rsidR="007E7DAE">
        <w:t>l</w:t>
      </w:r>
      <w:r>
        <w:t xml:space="preserve"> apetito (15,7 %).</w:t>
      </w:r>
    </w:p>
    <w:p w14:paraId="4FF4B5ED" w14:textId="77777777" w:rsidR="00EC5413" w:rsidRDefault="00EC5413"/>
    <w:p w14:paraId="4FF4B5EE" w14:textId="77777777" w:rsidR="00EC5413" w:rsidRDefault="00EC5413">
      <w:pPr>
        <w:pStyle w:val="HeadingUnderlined"/>
      </w:pPr>
      <w:r>
        <w:t>Tabla de reacciones adversas</w:t>
      </w:r>
    </w:p>
    <w:p w14:paraId="4FF4B5EF" w14:textId="7A2746AC" w:rsidR="00EC5413" w:rsidRDefault="00EC5413">
      <w:r>
        <w:t xml:space="preserve">La clasificación de la frecuencia de las reacciones adversas que se utiliza es la siguiente: </w:t>
      </w:r>
      <w:r w:rsidR="00300219">
        <w:t>m</w:t>
      </w:r>
      <w:r>
        <w:t>uy frecuentes (≥ 1/10); frecuentes (≥ 1/100 a &lt; 1/10); poco frecuentes (≥ 1/1 000 a &lt; 1/100); raras (≥ 1/10 000 a &lt; 1/1 000); muy raras (&lt; 1/10 000), frecuencia no conocida (no puede estimarse a partir de los datos disponibles).</w:t>
      </w:r>
    </w:p>
    <w:p w14:paraId="4FF4B5F0" w14:textId="77777777" w:rsidR="00EC5413" w:rsidRDefault="00EC5413"/>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36"/>
        <w:gridCol w:w="1941"/>
      </w:tblGrid>
      <w:tr w:rsidR="00EC5413" w14:paraId="4FF4B5F3" w14:textId="77777777">
        <w:trPr>
          <w:tblHeader/>
        </w:trPr>
        <w:tc>
          <w:tcPr>
            <w:tcW w:w="7136" w:type="dxa"/>
          </w:tcPr>
          <w:p w14:paraId="4FF4B5F1" w14:textId="77777777" w:rsidR="00EC5413" w:rsidRDefault="00EC5413">
            <w:pPr>
              <w:rPr>
                <w:rStyle w:val="Strong"/>
              </w:rPr>
            </w:pPr>
            <w:r>
              <w:rPr>
                <w:rStyle w:val="Strong"/>
              </w:rPr>
              <w:t>Reacciones adversas</w:t>
            </w:r>
          </w:p>
        </w:tc>
        <w:tc>
          <w:tcPr>
            <w:tcW w:w="1941" w:type="dxa"/>
          </w:tcPr>
          <w:p w14:paraId="4FF4B5F2" w14:textId="77777777" w:rsidR="00EC5413" w:rsidRDefault="00EC5413">
            <w:pPr>
              <w:rPr>
                <w:rStyle w:val="Strong"/>
              </w:rPr>
            </w:pPr>
            <w:r>
              <w:rPr>
                <w:rStyle w:val="Strong"/>
              </w:rPr>
              <w:t>Frecuencia</w:t>
            </w:r>
          </w:p>
        </w:tc>
      </w:tr>
      <w:tr w:rsidR="00EC5413" w14:paraId="4FF4B5F5" w14:textId="77777777">
        <w:tc>
          <w:tcPr>
            <w:tcW w:w="9077" w:type="dxa"/>
            <w:gridSpan w:val="2"/>
          </w:tcPr>
          <w:p w14:paraId="4FF4B5F4" w14:textId="4FCF245A" w:rsidR="00EC5413" w:rsidRDefault="00EC5413">
            <w:pPr>
              <w:rPr>
                <w:rStyle w:val="Emphasis"/>
              </w:rPr>
            </w:pPr>
            <w:r>
              <w:rPr>
                <w:rStyle w:val="Emphasis"/>
              </w:rPr>
              <w:t>Trastornos del metabolismo y de la nutrición</w:t>
            </w:r>
          </w:p>
        </w:tc>
      </w:tr>
      <w:tr w:rsidR="00EC5413" w14:paraId="4FF4B5F8" w14:textId="77777777">
        <w:tc>
          <w:tcPr>
            <w:tcW w:w="7136" w:type="dxa"/>
          </w:tcPr>
          <w:p w14:paraId="4FF4B5F6" w14:textId="77777777" w:rsidR="00EC5413" w:rsidRDefault="00EC5413">
            <w:r>
              <w:t>Disminución del apetito</w:t>
            </w:r>
          </w:p>
        </w:tc>
        <w:tc>
          <w:tcPr>
            <w:tcW w:w="1941" w:type="dxa"/>
          </w:tcPr>
          <w:p w14:paraId="4FF4B5F7" w14:textId="77777777" w:rsidR="00EC5413" w:rsidRDefault="00EC5413">
            <w:r>
              <w:t>Muy frecuente</w:t>
            </w:r>
          </w:p>
        </w:tc>
      </w:tr>
      <w:tr w:rsidR="00EC5413" w14:paraId="4FF4B5FA" w14:textId="77777777">
        <w:tc>
          <w:tcPr>
            <w:tcW w:w="9077" w:type="dxa"/>
            <w:gridSpan w:val="2"/>
          </w:tcPr>
          <w:p w14:paraId="4FF4B5F9" w14:textId="77777777" w:rsidR="00EC5413" w:rsidRDefault="00EC5413">
            <w:pPr>
              <w:rPr>
                <w:rStyle w:val="Emphasis"/>
              </w:rPr>
            </w:pPr>
            <w:r>
              <w:rPr>
                <w:rStyle w:val="Emphasis"/>
              </w:rPr>
              <w:t>Trastornos del sistema nervioso</w:t>
            </w:r>
          </w:p>
        </w:tc>
      </w:tr>
      <w:tr w:rsidR="00EC5413" w14:paraId="4FF4B5FD" w14:textId="77777777">
        <w:tc>
          <w:tcPr>
            <w:tcW w:w="7136" w:type="dxa"/>
          </w:tcPr>
          <w:p w14:paraId="4FF4B5FB" w14:textId="77777777" w:rsidR="00EC5413" w:rsidRDefault="00EC5413">
            <w:r>
              <w:t>Cefalea</w:t>
            </w:r>
          </w:p>
        </w:tc>
        <w:tc>
          <w:tcPr>
            <w:tcW w:w="1941" w:type="dxa"/>
          </w:tcPr>
          <w:p w14:paraId="4FF4B5FC" w14:textId="77777777" w:rsidR="00EC5413" w:rsidRDefault="00EC5413">
            <w:r>
              <w:t>Muy frecuente</w:t>
            </w:r>
          </w:p>
        </w:tc>
      </w:tr>
      <w:tr w:rsidR="00EC5413" w14:paraId="4FF4B600" w14:textId="77777777">
        <w:tc>
          <w:tcPr>
            <w:tcW w:w="7136" w:type="dxa"/>
          </w:tcPr>
          <w:p w14:paraId="4FF4B5FE" w14:textId="77777777" w:rsidR="00EC5413" w:rsidRDefault="00EC5413">
            <w:r>
              <w:t>Mareo</w:t>
            </w:r>
          </w:p>
        </w:tc>
        <w:tc>
          <w:tcPr>
            <w:tcW w:w="1941" w:type="dxa"/>
          </w:tcPr>
          <w:p w14:paraId="4FF4B5FF" w14:textId="77777777" w:rsidR="00EC5413" w:rsidRDefault="00EC5413">
            <w:r>
              <w:t>Poco frecuente</w:t>
            </w:r>
          </w:p>
        </w:tc>
      </w:tr>
      <w:tr w:rsidR="00EC5413" w14:paraId="4FF4B602" w14:textId="77777777">
        <w:tc>
          <w:tcPr>
            <w:tcW w:w="9077" w:type="dxa"/>
            <w:gridSpan w:val="2"/>
          </w:tcPr>
          <w:p w14:paraId="4FF4B601" w14:textId="77777777" w:rsidR="00EC5413" w:rsidRDefault="00EC5413">
            <w:pPr>
              <w:rPr>
                <w:rStyle w:val="Emphasis"/>
              </w:rPr>
            </w:pPr>
            <w:r>
              <w:rPr>
                <w:rStyle w:val="Emphasis"/>
              </w:rPr>
              <w:t>Trastornos gastrointestinales</w:t>
            </w:r>
          </w:p>
        </w:tc>
      </w:tr>
      <w:tr w:rsidR="00EC5413" w14:paraId="4FF4B605" w14:textId="77777777">
        <w:tc>
          <w:tcPr>
            <w:tcW w:w="7136" w:type="dxa"/>
          </w:tcPr>
          <w:p w14:paraId="4FF4B603" w14:textId="77777777" w:rsidR="00EC5413" w:rsidRDefault="00EC5413">
            <w:r>
              <w:t>Dolor abdominal, náuseas o vómitos</w:t>
            </w:r>
          </w:p>
        </w:tc>
        <w:tc>
          <w:tcPr>
            <w:tcW w:w="1941" w:type="dxa"/>
          </w:tcPr>
          <w:p w14:paraId="4FF4B604" w14:textId="77777777" w:rsidR="00EC5413" w:rsidRDefault="00EC5413">
            <w:r>
              <w:t>Muy frecuente</w:t>
            </w:r>
          </w:p>
        </w:tc>
      </w:tr>
      <w:tr w:rsidR="00EC5413" w14:paraId="4FF4B608" w14:textId="77777777">
        <w:tc>
          <w:tcPr>
            <w:tcW w:w="7136" w:type="dxa"/>
          </w:tcPr>
          <w:p w14:paraId="4FF4B606" w14:textId="77777777" w:rsidR="00EC5413" w:rsidRDefault="00EC5413">
            <w:r>
              <w:t>Diarrea</w:t>
            </w:r>
          </w:p>
        </w:tc>
        <w:tc>
          <w:tcPr>
            <w:tcW w:w="1941" w:type="dxa"/>
          </w:tcPr>
          <w:p w14:paraId="4FF4B607" w14:textId="77777777" w:rsidR="00EC5413" w:rsidRDefault="00EC5413">
            <w:r>
              <w:t>Frecuente</w:t>
            </w:r>
          </w:p>
        </w:tc>
      </w:tr>
      <w:tr w:rsidR="00EC5413" w14:paraId="4FF4B60B" w14:textId="77777777">
        <w:tc>
          <w:tcPr>
            <w:tcW w:w="7136" w:type="dxa"/>
          </w:tcPr>
          <w:p w14:paraId="4FF4B609" w14:textId="58B271E0" w:rsidR="00EC5413" w:rsidRDefault="00EC5413">
            <w:r>
              <w:t xml:space="preserve">Flatulencia, estreñimiento, distensión abdominal, dispepsia, heces anormales, sequedad </w:t>
            </w:r>
            <w:r w:rsidR="00905A23">
              <w:t>de</w:t>
            </w:r>
            <w:r w:rsidR="00C75953">
              <w:t xml:space="preserve"> boca</w:t>
            </w:r>
            <w:r>
              <w:t>, eructos</w:t>
            </w:r>
          </w:p>
        </w:tc>
        <w:tc>
          <w:tcPr>
            <w:tcW w:w="1941" w:type="dxa"/>
          </w:tcPr>
          <w:p w14:paraId="4FF4B60A" w14:textId="77777777" w:rsidR="00EC5413" w:rsidRDefault="00EC5413">
            <w:r>
              <w:t>Poco frecuente</w:t>
            </w:r>
          </w:p>
        </w:tc>
      </w:tr>
      <w:tr w:rsidR="00EC5413" w14:paraId="4FF4B60D" w14:textId="77777777">
        <w:tc>
          <w:tcPr>
            <w:tcW w:w="9077" w:type="dxa"/>
            <w:gridSpan w:val="2"/>
          </w:tcPr>
          <w:p w14:paraId="4FF4B60C" w14:textId="77777777" w:rsidR="00EC5413" w:rsidRDefault="00EC5413">
            <w:r>
              <w:rPr>
                <w:rStyle w:val="Emphasis"/>
              </w:rPr>
              <w:t>Trastornos de la piel y del tejido subcutáneo</w:t>
            </w:r>
          </w:p>
        </w:tc>
      </w:tr>
      <w:tr w:rsidR="00EC5413" w14:paraId="4FF4B610" w14:textId="77777777">
        <w:tc>
          <w:tcPr>
            <w:tcW w:w="7136" w:type="dxa"/>
          </w:tcPr>
          <w:p w14:paraId="4FF4B60E" w14:textId="77777777" w:rsidR="00EC5413" w:rsidRDefault="00EC5413">
            <w:r>
              <w:t>Exantema</w:t>
            </w:r>
          </w:p>
        </w:tc>
        <w:tc>
          <w:tcPr>
            <w:tcW w:w="1941" w:type="dxa"/>
          </w:tcPr>
          <w:p w14:paraId="4FF4B60F" w14:textId="77777777" w:rsidR="00EC5413" w:rsidRDefault="00EC5413">
            <w:r>
              <w:t>Poco frecuente</w:t>
            </w:r>
          </w:p>
        </w:tc>
      </w:tr>
      <w:tr w:rsidR="00EC5413" w14:paraId="4FF4B612" w14:textId="77777777">
        <w:tc>
          <w:tcPr>
            <w:tcW w:w="9077" w:type="dxa"/>
            <w:gridSpan w:val="2"/>
          </w:tcPr>
          <w:p w14:paraId="4FF4B611" w14:textId="77777777" w:rsidR="00EC5413" w:rsidRDefault="00EC5413">
            <w:pPr>
              <w:rPr>
                <w:rStyle w:val="Emphasis"/>
              </w:rPr>
            </w:pPr>
            <w:r>
              <w:rPr>
                <w:rStyle w:val="Emphasis"/>
              </w:rPr>
              <w:lastRenderedPageBreak/>
              <w:t>Trastornos musculoesqueléticos y del tejido conjuntivo</w:t>
            </w:r>
          </w:p>
        </w:tc>
      </w:tr>
      <w:tr w:rsidR="00EC5413" w14:paraId="4FF4B615" w14:textId="77777777">
        <w:tc>
          <w:tcPr>
            <w:tcW w:w="7136" w:type="dxa"/>
          </w:tcPr>
          <w:p w14:paraId="4FF4B613" w14:textId="77777777" w:rsidR="00EC5413" w:rsidRDefault="00EC5413">
            <w:r>
              <w:t>Artralgia</w:t>
            </w:r>
          </w:p>
        </w:tc>
        <w:tc>
          <w:tcPr>
            <w:tcW w:w="1941" w:type="dxa"/>
          </w:tcPr>
          <w:p w14:paraId="4FF4B614" w14:textId="77777777" w:rsidR="00EC5413" w:rsidRDefault="00EC5413">
            <w:r>
              <w:t>Poco frecuente</w:t>
            </w:r>
          </w:p>
        </w:tc>
      </w:tr>
      <w:tr w:rsidR="00EC5413" w14:paraId="4FF4B618" w14:textId="77777777">
        <w:tc>
          <w:tcPr>
            <w:tcW w:w="7136" w:type="dxa"/>
          </w:tcPr>
          <w:p w14:paraId="4FF4B616" w14:textId="77777777" w:rsidR="00EC5413" w:rsidRDefault="00EC5413">
            <w:r>
              <w:t>Escalofríos</w:t>
            </w:r>
          </w:p>
        </w:tc>
        <w:tc>
          <w:tcPr>
            <w:tcW w:w="1941" w:type="dxa"/>
          </w:tcPr>
          <w:p w14:paraId="4FF4B617" w14:textId="77777777" w:rsidR="00EC5413" w:rsidRDefault="00EC5413">
            <w:r>
              <w:t>Rara</w:t>
            </w:r>
          </w:p>
        </w:tc>
      </w:tr>
      <w:tr w:rsidR="00EC5413" w14:paraId="4FF4B61A" w14:textId="77777777">
        <w:tc>
          <w:tcPr>
            <w:tcW w:w="9077" w:type="dxa"/>
            <w:gridSpan w:val="2"/>
          </w:tcPr>
          <w:p w14:paraId="4FF4B619" w14:textId="77777777" w:rsidR="00EC5413" w:rsidRDefault="00EC5413">
            <w:pPr>
              <w:rPr>
                <w:rStyle w:val="Emphasis"/>
              </w:rPr>
            </w:pPr>
            <w:r>
              <w:rPr>
                <w:rStyle w:val="Emphasis"/>
              </w:rPr>
              <w:t>Trastornos generales y alteraciones en el lugar de administración</w:t>
            </w:r>
          </w:p>
        </w:tc>
      </w:tr>
      <w:tr w:rsidR="00EC5413" w14:paraId="4FF4B61D" w14:textId="77777777">
        <w:tc>
          <w:tcPr>
            <w:tcW w:w="7136" w:type="dxa"/>
          </w:tcPr>
          <w:p w14:paraId="4FF4B61B" w14:textId="77777777" w:rsidR="00EC5413" w:rsidRDefault="00EC5413">
            <w:r>
              <w:t>Cansancio</w:t>
            </w:r>
          </w:p>
        </w:tc>
        <w:tc>
          <w:tcPr>
            <w:tcW w:w="1941" w:type="dxa"/>
          </w:tcPr>
          <w:p w14:paraId="4FF4B61C" w14:textId="77777777" w:rsidR="00EC5413" w:rsidRDefault="00EC5413">
            <w:r>
              <w:t>Muy frecuente</w:t>
            </w:r>
          </w:p>
        </w:tc>
      </w:tr>
      <w:tr w:rsidR="00EC5413" w14:paraId="4FF4B620" w14:textId="77777777">
        <w:tc>
          <w:tcPr>
            <w:tcW w:w="7136" w:type="dxa"/>
          </w:tcPr>
          <w:p w14:paraId="4FF4B61E" w14:textId="77777777" w:rsidR="00EC5413" w:rsidRDefault="00EC5413">
            <w:r>
              <w:t>Fiebre</w:t>
            </w:r>
          </w:p>
        </w:tc>
        <w:tc>
          <w:tcPr>
            <w:tcW w:w="1941" w:type="dxa"/>
          </w:tcPr>
          <w:p w14:paraId="4FF4B61F" w14:textId="77777777" w:rsidR="00EC5413" w:rsidRDefault="00EC5413">
            <w:r>
              <w:t>Poco frecuente</w:t>
            </w:r>
          </w:p>
        </w:tc>
      </w:tr>
    </w:tbl>
    <w:p w14:paraId="4FF4B621" w14:textId="77777777" w:rsidR="00EC5413" w:rsidRDefault="00EC5413"/>
    <w:p w14:paraId="4FF4B622" w14:textId="77777777" w:rsidR="00EC5413" w:rsidRDefault="00EC5413">
      <w:pPr>
        <w:pStyle w:val="HeadingUnderlined"/>
      </w:pPr>
      <w:r>
        <w:t>Población pediátrica</w:t>
      </w:r>
    </w:p>
    <w:p w14:paraId="4FF4B623" w14:textId="12BCE0BA" w:rsidR="00EC5413" w:rsidRDefault="00EC5413">
      <w:r>
        <w:t>Se llevó a cabo un ensayo clínico en 550 niños entre 2 y &lt; 18 años. Basándose en los resultados de este ensayo, se espera que el tipo de reacciones adversas en los niños sean similares a las de los adultos. Algunas reacciones adversas fueron más frecuentes en niños que en adultos, incluidas cansancio (35,7 % frente a 30,2 %), dolor abdominal (27,8 % frente a 18,4 %), vómitos (3,8 % frente a 0,2 %), disminución del apetito (21,4 % frente a 15,7 %) y fiebre (2,4 % frente a 0,8 %).</w:t>
      </w:r>
    </w:p>
    <w:p w14:paraId="4FF4B624" w14:textId="77777777" w:rsidR="00EC5413" w:rsidRDefault="00EC5413"/>
    <w:p w14:paraId="4FF4B625" w14:textId="77777777" w:rsidR="00EC5413" w:rsidRDefault="00EC5413">
      <w:pPr>
        <w:pStyle w:val="HeadingUnderlined"/>
      </w:pPr>
      <w:r>
        <w:t>Notificación de sospechas de reacciones adversas</w:t>
      </w:r>
    </w:p>
    <w:p w14:paraId="4FF4B626" w14:textId="25E7AF09" w:rsidR="00EC5413" w:rsidRPr="00850BB2" w:rsidRDefault="00EC5413" w:rsidP="00850BB2">
      <w:pPr>
        <w:tabs>
          <w:tab w:val="left" w:pos="-720"/>
        </w:tabs>
        <w:rPr>
          <w:rFonts w:eastAsia="Calibri"/>
          <w:color w:val="000080"/>
          <w:lang w:val="es-ES_tradnl"/>
        </w:rPr>
      </w:pPr>
      <w: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00850BB2" w:rsidRPr="00BB06F8">
        <w:rPr>
          <w:rFonts w:eastAsia="Calibri"/>
        </w:rPr>
        <w:t>Sistema Español de Farmacovigilancia de Medicamentos de Uso Humano</w:t>
      </w:r>
      <w:r w:rsidR="00850BB2" w:rsidRPr="006A257C">
        <w:rPr>
          <w:rFonts w:eastAsia="Calibri"/>
          <w:color w:val="000080"/>
          <w:lang w:val="es-ES_tradnl"/>
        </w:rPr>
        <w:t xml:space="preserve">: </w:t>
      </w:r>
      <w:hyperlink r:id="rId8" w:history="1">
        <w:r w:rsidR="00850BB2" w:rsidRPr="006A257C">
          <w:rPr>
            <w:rFonts w:eastAsia="Calibri"/>
            <w:color w:val="0000FF"/>
            <w:u w:val="single"/>
            <w:lang w:val="es-ES_tradnl"/>
          </w:rPr>
          <w:t>www.notificaRAM.es</w:t>
        </w:r>
      </w:hyperlink>
      <w:r>
        <w:t>.</w:t>
      </w:r>
    </w:p>
    <w:p w14:paraId="4FF4B627" w14:textId="77777777" w:rsidR="00EC5413" w:rsidRDefault="00EC5413"/>
    <w:p w14:paraId="4FF4B628" w14:textId="77777777" w:rsidR="00EC5413" w:rsidRDefault="00EC5413">
      <w:pPr>
        <w:pStyle w:val="Heading2"/>
      </w:pPr>
      <w:r>
        <w:t>4.9</w:t>
      </w:r>
      <w:r>
        <w:tab/>
        <w:t>Sobredosis</w:t>
      </w:r>
    </w:p>
    <w:p w14:paraId="4FF4B629" w14:textId="77777777" w:rsidR="00EC5413" w:rsidRDefault="00EC5413">
      <w:pPr>
        <w:keepNext/>
      </w:pPr>
    </w:p>
    <w:p w14:paraId="4FF4B62A" w14:textId="77777777" w:rsidR="00EC5413" w:rsidRDefault="00EC5413">
      <w:r>
        <w:t>Se han notificado informes de varias dosis de Vaxchora administradas con un intervalo de varias semanas. Las reacciones adversas notificadas fueron comparables a las observadas después de la dosis recomendada.</w:t>
      </w:r>
    </w:p>
    <w:p w14:paraId="4FF4B62B" w14:textId="77777777" w:rsidR="00EC5413" w:rsidRDefault="00EC5413"/>
    <w:p w14:paraId="4FF4B62C" w14:textId="77777777" w:rsidR="00EC5413" w:rsidRDefault="00EC5413">
      <w:pPr>
        <w:pStyle w:val="Heading1"/>
      </w:pPr>
      <w:r>
        <w:t>5.</w:t>
      </w:r>
      <w:r>
        <w:tab/>
        <w:t>PROPIEDADES FARMACOLÓGICAS</w:t>
      </w:r>
    </w:p>
    <w:p w14:paraId="4FF4B62D" w14:textId="77777777" w:rsidR="00EC5413" w:rsidRDefault="00EC5413">
      <w:pPr>
        <w:keepNext/>
      </w:pPr>
    </w:p>
    <w:p w14:paraId="4FF4B62E" w14:textId="77777777" w:rsidR="00EC5413" w:rsidRDefault="00EC5413">
      <w:pPr>
        <w:pStyle w:val="Heading2"/>
      </w:pPr>
      <w:r>
        <w:t>5.1</w:t>
      </w:r>
      <w:r>
        <w:tab/>
        <w:t>Propiedades farmacodinámicas</w:t>
      </w:r>
    </w:p>
    <w:p w14:paraId="4FF4B62F" w14:textId="77777777" w:rsidR="00EC5413" w:rsidRDefault="00EC5413">
      <w:pPr>
        <w:keepNext/>
      </w:pPr>
    </w:p>
    <w:p w14:paraId="4FF4B630" w14:textId="6EF02EA1" w:rsidR="00EC5413" w:rsidRDefault="00EC5413">
      <w:r>
        <w:t>Grupo farmacoterapéutico: vacunas, vacunas frente al cólera, código ATC: J07AE02</w:t>
      </w:r>
    </w:p>
    <w:p w14:paraId="4FF4B631" w14:textId="77777777" w:rsidR="00EC5413" w:rsidRDefault="00EC5413"/>
    <w:p w14:paraId="4FF4B632" w14:textId="77777777" w:rsidR="00EC5413" w:rsidRDefault="00EC5413">
      <w:pPr>
        <w:pStyle w:val="HeadingUnderlined"/>
      </w:pPr>
      <w:r>
        <w:t>Mecanismo de acción</w:t>
      </w:r>
    </w:p>
    <w:p w14:paraId="4FF4B633" w14:textId="1E230A27" w:rsidR="00EC5413" w:rsidRDefault="00EC5413">
      <w:r>
        <w:t>Vaxchora contiene bacterias del cólera vivas atenuadas (cepa CVD 103</w:t>
      </w:r>
      <w:r>
        <w:noBreakHyphen/>
        <w:t xml:space="preserve">HgR Inaba clásica del serogrupo O1 de </w:t>
      </w:r>
      <w:r>
        <w:rPr>
          <w:rStyle w:val="Emphasis"/>
        </w:rPr>
        <w:t>Vibrio</w:t>
      </w:r>
      <w:r>
        <w:t xml:space="preserve"> </w:t>
      </w:r>
      <w:r>
        <w:rPr>
          <w:rStyle w:val="Emphasis"/>
        </w:rPr>
        <w:t>cholerae</w:t>
      </w:r>
      <w:r>
        <w:t>) que se replican en el tracto gastrointestinal del receptor e inducen respuesta de anticuerpos vibriocidas séricos y de linfocitos B de memoria. Los mecanismos inmunológicos que confieren protección contra el cólera después de recibir la vacuna no se han determinado; sin embargo, el aumento de anticuerpos vibriocidas en suero 10 días después de la vacunación con esta vacuna se asocian a la protección en un estudio exposición en humanos.</w:t>
      </w:r>
    </w:p>
    <w:p w14:paraId="4FF4B634" w14:textId="77777777" w:rsidR="00EC5413" w:rsidRDefault="00EC5413"/>
    <w:p w14:paraId="4FF4B635" w14:textId="77777777" w:rsidR="00EC5413" w:rsidRDefault="00EC5413">
      <w:pPr>
        <w:pStyle w:val="HeadingUnderlined"/>
      </w:pPr>
      <w:r>
        <w:t>Eficacia en la exposición al cólera</w:t>
      </w:r>
    </w:p>
    <w:p w14:paraId="4FF4B636" w14:textId="27FBF180" w:rsidR="00EC5413" w:rsidRDefault="00EC5413">
      <w:r>
        <w:t xml:space="preserve">La eficacia anticolérica de Vaxchora se demostró en un estudio de exposición en humanos llevado a cabo en 197 voluntarios adultos sanos con una edad media de 31 años (de entre 18 y 45, el 62,9 % de hombres y el 37,1 % de mujeres) en el que un grupo de receptores de vacuna o placebo se expusieron a bacilos </w:t>
      </w:r>
      <w:r>
        <w:rPr>
          <w:rStyle w:val="Emphasis"/>
        </w:rPr>
        <w:t>Vibrio</w:t>
      </w:r>
      <w:r>
        <w:t xml:space="preserve"> </w:t>
      </w:r>
      <w:r>
        <w:rPr>
          <w:rStyle w:val="Emphasis"/>
        </w:rPr>
        <w:t>cholerae</w:t>
      </w:r>
      <w:r>
        <w:t xml:space="preserve"> vivos 10 días después de la vacunación (n</w:t>
      </w:r>
      <w:r w:rsidR="00DE6906">
        <w:t> </w:t>
      </w:r>
      <w:r>
        <w:t>=</w:t>
      </w:r>
      <w:r w:rsidR="00DE6906">
        <w:t> </w:t>
      </w:r>
      <w:r>
        <w:t>68) o 3 meses después de la vacunación (n</w:t>
      </w:r>
      <w:r w:rsidR="00DE6906">
        <w:t> </w:t>
      </w:r>
      <w:r>
        <w:t>=</w:t>
      </w:r>
      <w:r w:rsidR="00DE6906">
        <w:t> </w:t>
      </w:r>
      <w:r>
        <w:t>66). La eficacia protectora frente a la diarrea de moderada a grave se muestra en la Tabla 1.</w:t>
      </w:r>
    </w:p>
    <w:p w14:paraId="4FF4B637" w14:textId="77777777" w:rsidR="00EC5413" w:rsidRDefault="00EC5413"/>
    <w:p w14:paraId="4FF4B638" w14:textId="6BA478ED" w:rsidR="00EC5413" w:rsidRDefault="00EC5413">
      <w:r>
        <w:t>En personas con grupo sanguíneo O, la eficacia protectora frente a la diarrea moderada o grave fue del 84,8 % en el grupo de exposición a los 10 días (n</w:t>
      </w:r>
      <w:r w:rsidR="00DE6906">
        <w:t> </w:t>
      </w:r>
      <w:r>
        <w:t>=</w:t>
      </w:r>
      <w:r w:rsidR="00DE6906">
        <w:t> </w:t>
      </w:r>
      <w:r>
        <w:t>19) y del 78,4 % en el grupo de exposición a los 3 meses (n</w:t>
      </w:r>
      <w:r w:rsidR="00DE6906">
        <w:t> </w:t>
      </w:r>
      <w:r>
        <w:t>=</w:t>
      </w:r>
      <w:r w:rsidR="00DE6906">
        <w:t> </w:t>
      </w:r>
      <w:r>
        <w:t>20).</w:t>
      </w:r>
    </w:p>
    <w:p w14:paraId="4FF4B639" w14:textId="77777777" w:rsidR="00EC5413" w:rsidRDefault="00EC5413"/>
    <w:p w14:paraId="4FF4B63A" w14:textId="4D4B3780" w:rsidR="00EC5413" w:rsidRDefault="00EC5413" w:rsidP="0079404B">
      <w:pPr>
        <w:pStyle w:val="TableTitle"/>
        <w:ind w:left="0" w:firstLine="0"/>
      </w:pPr>
      <w:r>
        <w:lastRenderedPageBreak/>
        <w:t xml:space="preserve">Tabla 1: Eficacia protectora en la prevención de diarrea de moderada a grave después de la exposición a </w:t>
      </w:r>
      <w:r>
        <w:rPr>
          <w:rStyle w:val="Emphasis"/>
        </w:rPr>
        <w:t>Vibrio</w:t>
      </w:r>
      <w:r>
        <w:t xml:space="preserve"> </w:t>
      </w:r>
      <w:r>
        <w:rPr>
          <w:rStyle w:val="Emphasis"/>
        </w:rPr>
        <w:t>cholerae</w:t>
      </w:r>
      <w:r>
        <w:t> O1 El Tor Inaba 10 días y 3 meses después de la vacunación (población por intención de tratar)</w:t>
      </w:r>
    </w:p>
    <w:p w14:paraId="4FF4B63B" w14:textId="77777777" w:rsidR="00EC5413" w:rsidRDefault="00EC5413">
      <w:pPr>
        <w:keepNext/>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Look w:val="00A0" w:firstRow="1" w:lastRow="0" w:firstColumn="1" w:lastColumn="0" w:noHBand="0" w:noVBand="0"/>
      </w:tblPr>
      <w:tblGrid>
        <w:gridCol w:w="2289"/>
        <w:gridCol w:w="2290"/>
        <w:gridCol w:w="2290"/>
        <w:gridCol w:w="2294"/>
      </w:tblGrid>
      <w:tr w:rsidR="00EC5413" w:rsidRPr="00300219" w14:paraId="4FF4B643" w14:textId="77777777">
        <w:tc>
          <w:tcPr>
            <w:tcW w:w="2325" w:type="dxa"/>
            <w:tcBorders>
              <w:top w:val="single" w:sz="12" w:space="0" w:color="auto"/>
              <w:left w:val="single" w:sz="12" w:space="0" w:color="auto"/>
              <w:bottom w:val="single" w:sz="12" w:space="0" w:color="auto"/>
              <w:right w:val="nil"/>
            </w:tcBorders>
            <w:vAlign w:val="bottom"/>
          </w:tcPr>
          <w:p w14:paraId="4FF4B63C" w14:textId="77777777" w:rsidR="00EC5413" w:rsidRPr="007967C1" w:rsidRDefault="00EC5413">
            <w:pPr>
              <w:pStyle w:val="normal10pt"/>
              <w:rPr>
                <w:rStyle w:val="Strong"/>
                <w:b w:val="0"/>
                <w:bCs w:val="0"/>
                <w:sz w:val="22"/>
                <w:szCs w:val="22"/>
              </w:rPr>
            </w:pPr>
            <w:r w:rsidRPr="0079404B">
              <w:rPr>
                <w:rStyle w:val="Strong"/>
                <w:sz w:val="22"/>
                <w:szCs w:val="22"/>
              </w:rPr>
              <w:t>Parámetro</w:t>
            </w:r>
          </w:p>
        </w:tc>
        <w:tc>
          <w:tcPr>
            <w:tcW w:w="2326" w:type="dxa"/>
            <w:tcBorders>
              <w:top w:val="single" w:sz="12" w:space="0" w:color="auto"/>
              <w:left w:val="nil"/>
              <w:bottom w:val="single" w:sz="12" w:space="0" w:color="auto"/>
              <w:right w:val="nil"/>
            </w:tcBorders>
            <w:vAlign w:val="bottom"/>
          </w:tcPr>
          <w:p w14:paraId="4FF4B63D" w14:textId="77777777" w:rsidR="00EC5413" w:rsidRPr="007967C1" w:rsidRDefault="00EC5413">
            <w:pPr>
              <w:pStyle w:val="normal10pt"/>
              <w:jc w:val="center"/>
              <w:rPr>
                <w:rStyle w:val="Strong"/>
                <w:b w:val="0"/>
                <w:bCs w:val="0"/>
                <w:sz w:val="22"/>
                <w:szCs w:val="22"/>
              </w:rPr>
            </w:pPr>
            <w:r w:rsidRPr="0079404B">
              <w:rPr>
                <w:rStyle w:val="Strong"/>
                <w:sz w:val="22"/>
                <w:szCs w:val="22"/>
              </w:rPr>
              <w:t>Exposición a los 10 días de Vaxchora</w:t>
            </w:r>
          </w:p>
          <w:p w14:paraId="4FF4B63E" w14:textId="69D32EDD" w:rsidR="00EC5413" w:rsidRPr="0079404B" w:rsidRDefault="00EC5413">
            <w:pPr>
              <w:pStyle w:val="normal10pt"/>
              <w:jc w:val="center"/>
              <w:rPr>
                <w:sz w:val="22"/>
                <w:szCs w:val="22"/>
              </w:rPr>
            </w:pPr>
            <w:r w:rsidRPr="0079404B">
              <w:rPr>
                <w:sz w:val="22"/>
                <w:szCs w:val="22"/>
              </w:rPr>
              <w:t>N</w:t>
            </w:r>
            <w:r w:rsidR="00DE6906">
              <w:rPr>
                <w:sz w:val="22"/>
                <w:szCs w:val="22"/>
              </w:rPr>
              <w:t> </w:t>
            </w:r>
            <w:r w:rsidRPr="0079404B">
              <w:rPr>
                <w:sz w:val="22"/>
                <w:szCs w:val="22"/>
              </w:rPr>
              <w:t>=</w:t>
            </w:r>
            <w:r w:rsidR="00DE6906">
              <w:rPr>
                <w:sz w:val="22"/>
                <w:szCs w:val="22"/>
              </w:rPr>
              <w:t> </w:t>
            </w:r>
            <w:r w:rsidRPr="0079404B">
              <w:rPr>
                <w:sz w:val="22"/>
                <w:szCs w:val="22"/>
              </w:rPr>
              <w:t>35</w:t>
            </w:r>
          </w:p>
        </w:tc>
        <w:tc>
          <w:tcPr>
            <w:tcW w:w="2326" w:type="dxa"/>
            <w:tcBorders>
              <w:top w:val="single" w:sz="12" w:space="0" w:color="auto"/>
              <w:left w:val="nil"/>
              <w:bottom w:val="single" w:sz="12" w:space="0" w:color="auto"/>
              <w:right w:val="nil"/>
            </w:tcBorders>
            <w:vAlign w:val="bottom"/>
          </w:tcPr>
          <w:p w14:paraId="4FF4B63F" w14:textId="77777777" w:rsidR="00EC5413" w:rsidRPr="0079404B" w:rsidRDefault="00EC5413">
            <w:pPr>
              <w:pStyle w:val="normal10pt"/>
              <w:jc w:val="center"/>
              <w:rPr>
                <w:rStyle w:val="Strong"/>
                <w:sz w:val="22"/>
                <w:szCs w:val="22"/>
              </w:rPr>
            </w:pPr>
            <w:r w:rsidRPr="0079404B">
              <w:rPr>
                <w:rStyle w:val="Strong"/>
                <w:sz w:val="22"/>
                <w:szCs w:val="22"/>
              </w:rPr>
              <w:t>Exposición a los 3 meses de Vaxchora</w:t>
            </w:r>
          </w:p>
          <w:p w14:paraId="4FF4B640" w14:textId="22C68BDB" w:rsidR="00EC5413" w:rsidRPr="0079404B" w:rsidRDefault="00EC5413">
            <w:pPr>
              <w:pStyle w:val="normal10pt"/>
              <w:jc w:val="center"/>
              <w:rPr>
                <w:sz w:val="22"/>
                <w:szCs w:val="22"/>
              </w:rPr>
            </w:pPr>
            <w:r w:rsidRPr="0079404B">
              <w:rPr>
                <w:sz w:val="22"/>
                <w:szCs w:val="22"/>
              </w:rPr>
              <w:t>N</w:t>
            </w:r>
            <w:r w:rsidR="00DE6906">
              <w:rPr>
                <w:sz w:val="22"/>
                <w:szCs w:val="22"/>
              </w:rPr>
              <w:t> </w:t>
            </w:r>
            <w:r w:rsidRPr="0079404B">
              <w:rPr>
                <w:sz w:val="22"/>
                <w:szCs w:val="22"/>
              </w:rPr>
              <w:t>=</w:t>
            </w:r>
            <w:r w:rsidR="00DE6906">
              <w:rPr>
                <w:sz w:val="22"/>
                <w:szCs w:val="22"/>
              </w:rPr>
              <w:t> </w:t>
            </w:r>
            <w:r w:rsidRPr="0079404B">
              <w:rPr>
                <w:sz w:val="22"/>
                <w:szCs w:val="22"/>
              </w:rPr>
              <w:t>33</w:t>
            </w:r>
          </w:p>
        </w:tc>
        <w:tc>
          <w:tcPr>
            <w:tcW w:w="2326" w:type="dxa"/>
            <w:tcBorders>
              <w:top w:val="single" w:sz="12" w:space="0" w:color="auto"/>
              <w:left w:val="nil"/>
              <w:bottom w:val="single" w:sz="12" w:space="0" w:color="auto"/>
              <w:right w:val="single" w:sz="12" w:space="0" w:color="auto"/>
            </w:tcBorders>
            <w:vAlign w:val="bottom"/>
          </w:tcPr>
          <w:p w14:paraId="4FF4B641" w14:textId="77777777" w:rsidR="00EC5413" w:rsidRPr="0079404B" w:rsidRDefault="00EC5413">
            <w:pPr>
              <w:pStyle w:val="normal10pt"/>
              <w:jc w:val="center"/>
              <w:rPr>
                <w:rStyle w:val="Strong"/>
                <w:sz w:val="22"/>
                <w:szCs w:val="22"/>
              </w:rPr>
            </w:pPr>
            <w:r w:rsidRPr="0079404B">
              <w:rPr>
                <w:rStyle w:val="Strong"/>
                <w:sz w:val="22"/>
                <w:szCs w:val="22"/>
              </w:rPr>
              <w:t>Exposicióna los 10 días o a los 3 meses de placebo combinado</w:t>
            </w:r>
          </w:p>
          <w:p w14:paraId="4FF4B642" w14:textId="2243FD0A" w:rsidR="00EC5413" w:rsidRPr="0079404B" w:rsidRDefault="00EC5413">
            <w:pPr>
              <w:pStyle w:val="normal10pt"/>
              <w:jc w:val="center"/>
              <w:rPr>
                <w:sz w:val="22"/>
                <w:szCs w:val="22"/>
              </w:rPr>
            </w:pPr>
            <w:r w:rsidRPr="0079404B">
              <w:rPr>
                <w:sz w:val="22"/>
                <w:szCs w:val="22"/>
              </w:rPr>
              <w:t>N</w:t>
            </w:r>
            <w:r w:rsidR="00DE6906">
              <w:rPr>
                <w:sz w:val="22"/>
                <w:szCs w:val="22"/>
              </w:rPr>
              <w:t> </w:t>
            </w:r>
            <w:r w:rsidRPr="0079404B">
              <w:rPr>
                <w:sz w:val="22"/>
                <w:szCs w:val="22"/>
              </w:rPr>
              <w:t>=</w:t>
            </w:r>
            <w:r w:rsidR="00DE6906">
              <w:rPr>
                <w:sz w:val="22"/>
                <w:szCs w:val="22"/>
              </w:rPr>
              <w:t> </w:t>
            </w:r>
            <w:r w:rsidRPr="0079404B">
              <w:rPr>
                <w:sz w:val="22"/>
                <w:szCs w:val="22"/>
              </w:rPr>
              <w:t>66</w:t>
            </w:r>
          </w:p>
        </w:tc>
      </w:tr>
      <w:tr w:rsidR="00EC5413" w:rsidRPr="00300219" w14:paraId="4FF4B648" w14:textId="77777777">
        <w:tc>
          <w:tcPr>
            <w:tcW w:w="2325" w:type="dxa"/>
            <w:tcBorders>
              <w:top w:val="single" w:sz="12" w:space="0" w:color="auto"/>
              <w:left w:val="single" w:sz="12" w:space="0" w:color="auto"/>
              <w:bottom w:val="nil"/>
              <w:right w:val="nil"/>
            </w:tcBorders>
          </w:tcPr>
          <w:p w14:paraId="4FF4B644" w14:textId="77777777" w:rsidR="00EC5413" w:rsidRPr="0079404B" w:rsidRDefault="00EC5413">
            <w:pPr>
              <w:pStyle w:val="normal10pt"/>
              <w:rPr>
                <w:sz w:val="22"/>
                <w:szCs w:val="22"/>
              </w:rPr>
            </w:pPr>
            <w:r w:rsidRPr="0079404B">
              <w:rPr>
                <w:sz w:val="22"/>
                <w:szCs w:val="22"/>
              </w:rPr>
              <w:t>Número de pacientes con diarrea moderada o grave (tasa de episodios)</w:t>
            </w:r>
          </w:p>
        </w:tc>
        <w:tc>
          <w:tcPr>
            <w:tcW w:w="2326" w:type="dxa"/>
            <w:tcBorders>
              <w:top w:val="single" w:sz="12" w:space="0" w:color="auto"/>
              <w:left w:val="nil"/>
              <w:bottom w:val="nil"/>
              <w:right w:val="nil"/>
            </w:tcBorders>
          </w:tcPr>
          <w:p w14:paraId="4FF4B645" w14:textId="77777777" w:rsidR="00EC5413" w:rsidRPr="0079404B" w:rsidRDefault="00EC5413">
            <w:pPr>
              <w:pStyle w:val="normal10pt"/>
              <w:jc w:val="center"/>
              <w:rPr>
                <w:sz w:val="22"/>
                <w:szCs w:val="22"/>
              </w:rPr>
            </w:pPr>
            <w:r w:rsidRPr="0079404B">
              <w:rPr>
                <w:sz w:val="22"/>
                <w:szCs w:val="22"/>
              </w:rPr>
              <w:t>2 (5,7 %)</w:t>
            </w:r>
          </w:p>
        </w:tc>
        <w:tc>
          <w:tcPr>
            <w:tcW w:w="2326" w:type="dxa"/>
            <w:tcBorders>
              <w:top w:val="single" w:sz="12" w:space="0" w:color="auto"/>
              <w:left w:val="nil"/>
              <w:bottom w:val="nil"/>
              <w:right w:val="nil"/>
            </w:tcBorders>
          </w:tcPr>
          <w:p w14:paraId="4FF4B646" w14:textId="77777777" w:rsidR="00EC5413" w:rsidRPr="0079404B" w:rsidRDefault="00EC5413">
            <w:pPr>
              <w:pStyle w:val="normal10pt"/>
              <w:jc w:val="center"/>
              <w:rPr>
                <w:sz w:val="22"/>
                <w:szCs w:val="22"/>
              </w:rPr>
            </w:pPr>
            <w:r w:rsidRPr="0079404B">
              <w:rPr>
                <w:sz w:val="22"/>
                <w:szCs w:val="22"/>
              </w:rPr>
              <w:t>4 (12,1 %)</w:t>
            </w:r>
          </w:p>
        </w:tc>
        <w:tc>
          <w:tcPr>
            <w:tcW w:w="2326" w:type="dxa"/>
            <w:tcBorders>
              <w:top w:val="single" w:sz="12" w:space="0" w:color="auto"/>
              <w:left w:val="nil"/>
              <w:bottom w:val="nil"/>
              <w:right w:val="single" w:sz="12" w:space="0" w:color="auto"/>
            </w:tcBorders>
          </w:tcPr>
          <w:p w14:paraId="4FF4B647" w14:textId="77777777" w:rsidR="00EC5413" w:rsidRPr="0079404B" w:rsidRDefault="00EC5413">
            <w:pPr>
              <w:pStyle w:val="normal10pt"/>
              <w:jc w:val="center"/>
              <w:rPr>
                <w:sz w:val="22"/>
                <w:szCs w:val="22"/>
              </w:rPr>
            </w:pPr>
            <w:r w:rsidRPr="0079404B">
              <w:rPr>
                <w:sz w:val="22"/>
                <w:szCs w:val="22"/>
              </w:rPr>
              <w:t>39 (59,1 %)</w:t>
            </w:r>
          </w:p>
        </w:tc>
      </w:tr>
      <w:tr w:rsidR="00EC5413" w:rsidRPr="00300219" w14:paraId="4FF4B650" w14:textId="77777777">
        <w:tc>
          <w:tcPr>
            <w:tcW w:w="2325" w:type="dxa"/>
            <w:tcBorders>
              <w:top w:val="nil"/>
              <w:left w:val="single" w:sz="12" w:space="0" w:color="auto"/>
              <w:bottom w:val="single" w:sz="12" w:space="0" w:color="auto"/>
              <w:right w:val="nil"/>
            </w:tcBorders>
          </w:tcPr>
          <w:p w14:paraId="4FF4B649" w14:textId="77777777" w:rsidR="00EC5413" w:rsidRPr="0079404B" w:rsidRDefault="00EC5413">
            <w:pPr>
              <w:pStyle w:val="normal10pt"/>
              <w:rPr>
                <w:sz w:val="22"/>
                <w:szCs w:val="22"/>
              </w:rPr>
            </w:pPr>
            <w:r w:rsidRPr="0079404B">
              <w:rPr>
                <w:sz w:val="22"/>
                <w:szCs w:val="22"/>
              </w:rPr>
              <w:t>% de eficacia protectora</w:t>
            </w:r>
          </w:p>
          <w:p w14:paraId="4FF4B64A" w14:textId="77777777" w:rsidR="00EC5413" w:rsidRPr="0079404B" w:rsidRDefault="00EC5413">
            <w:pPr>
              <w:pStyle w:val="normal10pt"/>
              <w:rPr>
                <w:sz w:val="22"/>
                <w:szCs w:val="22"/>
              </w:rPr>
            </w:pPr>
            <w:r w:rsidRPr="0079404B">
              <w:rPr>
                <w:sz w:val="22"/>
                <w:szCs w:val="22"/>
              </w:rPr>
              <w:t>[IC del 95 %]</w:t>
            </w:r>
          </w:p>
        </w:tc>
        <w:tc>
          <w:tcPr>
            <w:tcW w:w="2326" w:type="dxa"/>
            <w:tcBorders>
              <w:top w:val="nil"/>
              <w:left w:val="nil"/>
              <w:bottom w:val="single" w:sz="12" w:space="0" w:color="auto"/>
              <w:right w:val="nil"/>
            </w:tcBorders>
          </w:tcPr>
          <w:p w14:paraId="4FF4B64B" w14:textId="77777777" w:rsidR="00EC5413" w:rsidRPr="0079404B" w:rsidRDefault="00EC5413">
            <w:pPr>
              <w:pStyle w:val="normal10pt"/>
              <w:jc w:val="center"/>
              <w:rPr>
                <w:sz w:val="22"/>
                <w:szCs w:val="22"/>
              </w:rPr>
            </w:pPr>
            <w:r w:rsidRPr="0079404B">
              <w:rPr>
                <w:sz w:val="22"/>
                <w:szCs w:val="22"/>
              </w:rPr>
              <w:t>90,3 %</w:t>
            </w:r>
          </w:p>
          <w:p w14:paraId="4FF4B64C" w14:textId="77777777" w:rsidR="00EC5413" w:rsidRPr="0079404B" w:rsidRDefault="00EC5413">
            <w:pPr>
              <w:pStyle w:val="normal10pt"/>
              <w:jc w:val="center"/>
              <w:rPr>
                <w:sz w:val="22"/>
                <w:szCs w:val="22"/>
              </w:rPr>
            </w:pPr>
            <w:r w:rsidRPr="0079404B">
              <w:rPr>
                <w:sz w:val="22"/>
                <w:szCs w:val="22"/>
              </w:rPr>
              <w:t>[62,7 %, 100,0 %]</w:t>
            </w:r>
          </w:p>
        </w:tc>
        <w:tc>
          <w:tcPr>
            <w:tcW w:w="2326" w:type="dxa"/>
            <w:tcBorders>
              <w:top w:val="nil"/>
              <w:left w:val="nil"/>
              <w:bottom w:val="single" w:sz="12" w:space="0" w:color="auto"/>
              <w:right w:val="nil"/>
            </w:tcBorders>
          </w:tcPr>
          <w:p w14:paraId="4FF4B64D" w14:textId="77777777" w:rsidR="00EC5413" w:rsidRPr="0079404B" w:rsidRDefault="00EC5413">
            <w:pPr>
              <w:pStyle w:val="normal10pt"/>
              <w:jc w:val="center"/>
              <w:rPr>
                <w:sz w:val="22"/>
                <w:szCs w:val="22"/>
              </w:rPr>
            </w:pPr>
            <w:r w:rsidRPr="0079404B">
              <w:rPr>
                <w:sz w:val="22"/>
                <w:szCs w:val="22"/>
              </w:rPr>
              <w:t>79,5 %</w:t>
            </w:r>
          </w:p>
          <w:p w14:paraId="4FF4B64E" w14:textId="77777777" w:rsidR="00EC5413" w:rsidRPr="0079404B" w:rsidRDefault="00EC5413">
            <w:pPr>
              <w:pStyle w:val="normal10pt"/>
              <w:jc w:val="center"/>
              <w:rPr>
                <w:sz w:val="22"/>
                <w:szCs w:val="22"/>
              </w:rPr>
            </w:pPr>
            <w:r w:rsidRPr="0079404B">
              <w:rPr>
                <w:sz w:val="22"/>
                <w:szCs w:val="22"/>
              </w:rPr>
              <w:t>[49,9 %, 100,0 %]</w:t>
            </w:r>
          </w:p>
        </w:tc>
        <w:tc>
          <w:tcPr>
            <w:tcW w:w="2326" w:type="dxa"/>
            <w:tcBorders>
              <w:top w:val="nil"/>
              <w:left w:val="nil"/>
              <w:bottom w:val="single" w:sz="12" w:space="0" w:color="auto"/>
              <w:right w:val="single" w:sz="12" w:space="0" w:color="auto"/>
            </w:tcBorders>
          </w:tcPr>
          <w:p w14:paraId="4FF4B64F" w14:textId="77777777" w:rsidR="00EC5413" w:rsidRPr="0079404B" w:rsidRDefault="00EC5413">
            <w:pPr>
              <w:pStyle w:val="normal10pt"/>
              <w:jc w:val="center"/>
              <w:rPr>
                <w:sz w:val="22"/>
                <w:szCs w:val="22"/>
              </w:rPr>
            </w:pPr>
            <w:r w:rsidRPr="0079404B">
              <w:rPr>
                <w:sz w:val="22"/>
                <w:szCs w:val="22"/>
              </w:rPr>
              <w:t>-</w:t>
            </w:r>
          </w:p>
        </w:tc>
      </w:tr>
    </w:tbl>
    <w:p w14:paraId="4FF4B651" w14:textId="2DEE8F2E" w:rsidR="00EC5413" w:rsidRDefault="00EC5413" w:rsidP="0079404B">
      <w:pPr>
        <w:pStyle w:val="TableFigureNote"/>
        <w:keepNext/>
        <w:keepLines/>
        <w:spacing w:before="0" w:line="240" w:lineRule="auto"/>
        <w:ind w:left="180" w:hanging="180"/>
      </w:pPr>
      <w:r w:rsidRPr="0079404B">
        <w:t>N</w:t>
      </w:r>
      <w:r w:rsidR="00D93C93">
        <w:t xml:space="preserve"> </w:t>
      </w:r>
      <w:r w:rsidRPr="0079404B">
        <w:t>=</w:t>
      </w:r>
      <w:r w:rsidR="00D93C93">
        <w:t xml:space="preserve"> </w:t>
      </w:r>
      <w:r w:rsidRPr="0079404B">
        <w:t>número de sujetos con muestras analizables</w:t>
      </w:r>
      <w:r>
        <w:t>.</w:t>
      </w:r>
    </w:p>
    <w:p w14:paraId="4FF4B652" w14:textId="2DC65D1B" w:rsidR="00EC5413" w:rsidRPr="0079404B" w:rsidRDefault="00EC5413" w:rsidP="0079404B">
      <w:pPr>
        <w:pStyle w:val="TableFigureNote"/>
        <w:keepNext/>
        <w:keepLines/>
        <w:spacing w:before="0" w:line="240" w:lineRule="auto"/>
        <w:ind w:left="180" w:hanging="180"/>
      </w:pPr>
      <w:r w:rsidRPr="0079404B">
        <w:t>IC</w:t>
      </w:r>
      <w:r w:rsidR="00D93C93">
        <w:t xml:space="preserve"> </w:t>
      </w:r>
      <w:r w:rsidRPr="0079404B">
        <w:t>=</w:t>
      </w:r>
      <w:r w:rsidR="00D93C93">
        <w:t xml:space="preserve"> </w:t>
      </w:r>
      <w:r>
        <w:t xml:space="preserve">intervalo de </w:t>
      </w:r>
      <w:r w:rsidRPr="0079404B">
        <w:t>confi</w:t>
      </w:r>
      <w:r>
        <w:t>anza</w:t>
      </w:r>
      <w:r w:rsidRPr="0079404B">
        <w:t>.</w:t>
      </w:r>
    </w:p>
    <w:p w14:paraId="4FF4B653" w14:textId="77777777" w:rsidR="00EC5413" w:rsidRDefault="00EC5413" w:rsidP="006407ED"/>
    <w:p w14:paraId="4FF4B654" w14:textId="77777777" w:rsidR="00EC5413" w:rsidRDefault="00EC5413">
      <w:pPr>
        <w:pStyle w:val="HeadingUnderlined"/>
      </w:pPr>
      <w:r>
        <w:t>Inmunogenicidad</w:t>
      </w:r>
    </w:p>
    <w:p w14:paraId="4FF4B655" w14:textId="6C2BBF87" w:rsidR="00EC5413" w:rsidRDefault="00EC5413">
      <w:r>
        <w:t>El estudio de exposición en humanos indicó que la seroconversión vibriocida, definida como un incremento de cuatro veces o más de los títulos de anticuerpos vibriocidas séricos medidos desde el valor inicial 10 días después de la vacunación, guardaba una correlación de casi uno a uno con la protección contra la diarrea de moderada a grave. Por lo tanto, el valor de la seroconversión se seleccionó como la inmunogenicidad puente entre adultos de 18 a &lt; 46 años en el estudio de exposición y otras poblaciones, es decir, adultos mayores y pacientes pediátricos. Tres estudios adicionales evaluaron la inmunogenicidad: un ensayo extenso de 3 146 adultos sanos de 2 a &lt; 18 años (edad media 29,9; intervalo 18</w:t>
      </w:r>
      <w:r>
        <w:noBreakHyphen/>
        <w:t>46; 45,2 % de hombres; 54,8 % de mujeres) (estudio 3); un ensayo en 398 adultos sanos de 46 a &lt; 65 años (edad media 53,8, intervalo 46</w:t>
      </w:r>
      <w:r>
        <w:noBreakHyphen/>
        <w:t>64, 45,7 % de hombres, 54,3 % de mujeres) (estudio 4); y un ensayo pediátrico en sujetos sanos de </w:t>
      </w:r>
      <w:r w:rsidR="00B550CB">
        <w:t>2</w:t>
      </w:r>
      <w:r>
        <w:t xml:space="preserve"> a </w:t>
      </w:r>
      <w:r w:rsidR="00025C22" w:rsidRPr="0079404B">
        <w:t>&lt; </w:t>
      </w:r>
      <w:r>
        <w:t>1</w:t>
      </w:r>
      <w:r w:rsidR="00B550CB">
        <w:t>8</w:t>
      </w:r>
      <w:r>
        <w:t> años (estudio 5). Se efectuaron los análisis comparativos de inmunogenicidad (inmunogenicidad puente) especificados previamente, basados en las diferencias en las tasas de seroconversión, para señalar la no inferioridad en la tasa de seroconversión entre pacientes adultos mayores y pacientes pediátricos y los adultos de 18 a &lt; 46 años en el ensayo extenso de inmunogenicidad.</w:t>
      </w:r>
    </w:p>
    <w:p w14:paraId="4FF4B656" w14:textId="77777777" w:rsidR="00EC5413" w:rsidRDefault="00EC5413"/>
    <w:p w14:paraId="4FF4B657" w14:textId="655F9939" w:rsidR="00EC5413" w:rsidRDefault="00EC5413">
      <w:r>
        <w:t>Las tasas de seroconversión de los vacunados y aquellos que recibieron placebo en cada ensayo a los 10 días posteriores a la vacunación, así como los resultados de la inmunogenicidad puente, se resumen en las Tablas 2 y 4. En el estudio de exposición, el 79,8 % de los pacientes sufrió una seroconversión a los 7 días posteriores a la vacunación. Las tasas de seroconversión de los adultos mayores y pacientes pediátricos fueron no inferiores a las de los adultos más jóvenes.</w:t>
      </w:r>
    </w:p>
    <w:p w14:paraId="4FF4B658" w14:textId="77777777" w:rsidR="00EC5413" w:rsidRDefault="00EC5413"/>
    <w:p w14:paraId="4FF4B659" w14:textId="654FCBF0" w:rsidR="00EC5413" w:rsidRDefault="00EC5413">
      <w:r>
        <w:t>En los tres estudios en adultos, se observaron aumentos significativos de los porcentajes de linfocitos B de memoria IgA e IgG anti</w:t>
      </w:r>
      <w:r>
        <w:noBreakHyphen/>
        <w:t>O1 lipopolisacárido (LPS) y linfocitos B de memoria IgG anti</w:t>
      </w:r>
      <w:r>
        <w:noBreakHyphen/>
        <w:t>toxina colérica a los 90 y 180 días tras la vacunación. No se observó ninguna relación entre la edad y la respuesta de memoria de los linfocitos B. Los títulos de media geométrica (GMT, por sus siglas en inglés) de los anticuerpos vibriocidas séricos de personas vacunadas también fueron significativamente mayores que los GMT correspondientes a los receptores de placebo a los 90 y 180 días después de la inmunización en todos los grupos de edad. Se desconoce la duración de la protección.</w:t>
      </w:r>
    </w:p>
    <w:p w14:paraId="4FF4B65A" w14:textId="77777777" w:rsidR="00EC5413" w:rsidRDefault="00EC5413"/>
    <w:p w14:paraId="4FF4B65B" w14:textId="27EA24F6" w:rsidR="00EC5413" w:rsidRDefault="00EC5413">
      <w:pPr>
        <w:pStyle w:val="TableTitle"/>
        <w:ind w:left="851" w:hanging="851"/>
      </w:pPr>
      <w:r>
        <w:lastRenderedPageBreak/>
        <w:t xml:space="preserve">Tabla 2: Seroconversión de anticuerpos vibriocidas contra la cepa de la vacuna </w:t>
      </w:r>
      <w:r>
        <w:rPr>
          <w:rStyle w:val="Emphasis"/>
        </w:rPr>
        <w:t>Vibrio</w:t>
      </w:r>
      <w:r>
        <w:t xml:space="preserve"> </w:t>
      </w:r>
      <w:r>
        <w:rPr>
          <w:rStyle w:val="Emphasis"/>
        </w:rPr>
        <w:t>cholerae</w:t>
      </w:r>
      <w:r>
        <w:t xml:space="preserve"> del serotipo Inaba clásica 10 días después de la vacunación en adultos</w:t>
      </w:r>
    </w:p>
    <w:p w14:paraId="4FF4B65C" w14:textId="77777777" w:rsidR="00EC5413" w:rsidRDefault="00EC5413">
      <w:pPr>
        <w:keepNext/>
      </w:pPr>
    </w:p>
    <w:tbl>
      <w:tblPr>
        <w:tblW w:w="9064" w:type="dxa"/>
        <w:tblInd w:w="-106" w:type="dxa"/>
        <w:tblBorders>
          <w:top w:val="single" w:sz="12" w:space="0" w:color="auto"/>
          <w:left w:val="single" w:sz="12" w:space="0" w:color="auto"/>
          <w:bottom w:val="single" w:sz="12" w:space="0" w:color="auto"/>
          <w:right w:val="single" w:sz="12" w:space="0" w:color="auto"/>
        </w:tblBorders>
        <w:tblLayout w:type="fixed"/>
        <w:tblCellMar>
          <w:top w:w="85" w:type="dxa"/>
          <w:bottom w:w="85" w:type="dxa"/>
        </w:tblCellMar>
        <w:tblLook w:val="00A0" w:firstRow="1" w:lastRow="0" w:firstColumn="1" w:lastColumn="0" w:noHBand="0" w:noVBand="0"/>
      </w:tblPr>
      <w:tblGrid>
        <w:gridCol w:w="1624"/>
        <w:gridCol w:w="850"/>
        <w:gridCol w:w="1930"/>
        <w:gridCol w:w="832"/>
        <w:gridCol w:w="1518"/>
        <w:gridCol w:w="2310"/>
      </w:tblGrid>
      <w:tr w:rsidR="00EC5413" w:rsidRPr="00025C22" w14:paraId="4FF4B661" w14:textId="77777777">
        <w:tc>
          <w:tcPr>
            <w:tcW w:w="1624" w:type="dxa"/>
            <w:tcBorders>
              <w:top w:val="single" w:sz="12" w:space="0" w:color="auto"/>
              <w:bottom w:val="nil"/>
            </w:tcBorders>
            <w:vAlign w:val="bottom"/>
          </w:tcPr>
          <w:p w14:paraId="4FF4B65D" w14:textId="77777777" w:rsidR="00EC5413" w:rsidRPr="00025C22" w:rsidRDefault="00EC5413">
            <w:pPr>
              <w:pStyle w:val="Normal10pt0"/>
              <w:keepNext/>
              <w:jc w:val="center"/>
              <w:rPr>
                <w:rStyle w:val="Strong"/>
                <w:sz w:val="22"/>
                <w:szCs w:val="22"/>
              </w:rPr>
            </w:pPr>
            <w:r w:rsidRPr="0079404B">
              <w:rPr>
                <w:rStyle w:val="Strong"/>
                <w:sz w:val="22"/>
                <w:szCs w:val="22"/>
              </w:rPr>
              <w:t>Estudio</w:t>
            </w:r>
          </w:p>
        </w:tc>
        <w:tc>
          <w:tcPr>
            <w:tcW w:w="2780" w:type="dxa"/>
            <w:gridSpan w:val="2"/>
            <w:tcBorders>
              <w:top w:val="single" w:sz="12" w:space="0" w:color="auto"/>
              <w:bottom w:val="nil"/>
            </w:tcBorders>
            <w:vAlign w:val="bottom"/>
          </w:tcPr>
          <w:p w14:paraId="4FF4B65E" w14:textId="77777777" w:rsidR="00EC5413" w:rsidRPr="0079404B" w:rsidRDefault="00EC5413">
            <w:pPr>
              <w:pStyle w:val="Normal10pt0"/>
              <w:keepNext/>
              <w:jc w:val="center"/>
              <w:rPr>
                <w:rStyle w:val="Strong"/>
                <w:sz w:val="22"/>
                <w:szCs w:val="22"/>
              </w:rPr>
            </w:pPr>
            <w:r w:rsidRPr="0079404B">
              <w:rPr>
                <w:rStyle w:val="Strong"/>
                <w:sz w:val="22"/>
                <w:szCs w:val="22"/>
              </w:rPr>
              <w:t>Receptores de Vaxchora</w:t>
            </w:r>
          </w:p>
        </w:tc>
        <w:tc>
          <w:tcPr>
            <w:tcW w:w="2350" w:type="dxa"/>
            <w:gridSpan w:val="2"/>
            <w:tcBorders>
              <w:top w:val="single" w:sz="12" w:space="0" w:color="auto"/>
              <w:bottom w:val="nil"/>
            </w:tcBorders>
            <w:vAlign w:val="bottom"/>
          </w:tcPr>
          <w:p w14:paraId="4FF4B65F" w14:textId="77777777" w:rsidR="00EC5413" w:rsidRPr="0079404B" w:rsidRDefault="00EC5413">
            <w:pPr>
              <w:pStyle w:val="Normal10pt0"/>
              <w:keepNext/>
              <w:jc w:val="center"/>
              <w:rPr>
                <w:rStyle w:val="Strong"/>
                <w:sz w:val="22"/>
                <w:szCs w:val="22"/>
              </w:rPr>
            </w:pPr>
            <w:r w:rsidRPr="0079404B">
              <w:rPr>
                <w:rStyle w:val="Strong"/>
                <w:sz w:val="22"/>
                <w:szCs w:val="22"/>
              </w:rPr>
              <w:t>Receptores de placebo</w:t>
            </w:r>
          </w:p>
        </w:tc>
        <w:tc>
          <w:tcPr>
            <w:tcW w:w="2303" w:type="dxa"/>
            <w:tcBorders>
              <w:top w:val="single" w:sz="12" w:space="0" w:color="auto"/>
              <w:bottom w:val="nil"/>
            </w:tcBorders>
            <w:vAlign w:val="bottom"/>
          </w:tcPr>
          <w:p w14:paraId="4FF4B660" w14:textId="6B1D746B" w:rsidR="00EC5413" w:rsidRPr="0079404B" w:rsidRDefault="00EC5413">
            <w:pPr>
              <w:pStyle w:val="Normal10pt0"/>
              <w:keepNext/>
              <w:jc w:val="center"/>
              <w:rPr>
                <w:rStyle w:val="Strong"/>
                <w:sz w:val="22"/>
                <w:szCs w:val="22"/>
              </w:rPr>
            </w:pPr>
            <w:r w:rsidRPr="0079404B">
              <w:rPr>
                <w:rStyle w:val="Strong"/>
                <w:sz w:val="22"/>
                <w:szCs w:val="22"/>
              </w:rPr>
              <w:t>Inmunogenicidad puente: Diferencia entre la tasa de seroconversión en comparación con el estudio 3 en pacientes de 18 a 45 años</w:t>
            </w:r>
          </w:p>
        </w:tc>
      </w:tr>
      <w:tr w:rsidR="00EC5413" w:rsidRPr="00025C22" w14:paraId="4FF4B66D" w14:textId="77777777">
        <w:tc>
          <w:tcPr>
            <w:tcW w:w="1624" w:type="dxa"/>
            <w:tcBorders>
              <w:top w:val="nil"/>
              <w:bottom w:val="single" w:sz="12" w:space="0" w:color="auto"/>
            </w:tcBorders>
            <w:vAlign w:val="bottom"/>
          </w:tcPr>
          <w:p w14:paraId="4FF4B662" w14:textId="77777777" w:rsidR="00EC5413" w:rsidRPr="0079404B" w:rsidRDefault="00EC5413">
            <w:pPr>
              <w:pStyle w:val="Normal10pt0"/>
              <w:keepNext/>
              <w:jc w:val="center"/>
              <w:rPr>
                <w:sz w:val="22"/>
                <w:szCs w:val="22"/>
              </w:rPr>
            </w:pPr>
            <w:r w:rsidRPr="0079404B">
              <w:rPr>
                <w:sz w:val="22"/>
                <w:szCs w:val="22"/>
              </w:rPr>
              <w:t>(edad en años)</w:t>
            </w:r>
          </w:p>
        </w:tc>
        <w:tc>
          <w:tcPr>
            <w:tcW w:w="850" w:type="dxa"/>
            <w:tcBorders>
              <w:top w:val="nil"/>
              <w:bottom w:val="single" w:sz="12" w:space="0" w:color="auto"/>
            </w:tcBorders>
            <w:vAlign w:val="bottom"/>
          </w:tcPr>
          <w:p w14:paraId="4FF4B663" w14:textId="77777777" w:rsidR="00EC5413" w:rsidRPr="0079404B" w:rsidRDefault="00EC5413">
            <w:pPr>
              <w:pStyle w:val="Normal10pt0"/>
              <w:keepNext/>
              <w:jc w:val="center"/>
              <w:rPr>
                <w:sz w:val="22"/>
                <w:szCs w:val="22"/>
              </w:rPr>
            </w:pPr>
            <w:r w:rsidRPr="0079404B">
              <w:rPr>
                <w:sz w:val="22"/>
                <w:szCs w:val="22"/>
              </w:rPr>
              <w:t>N</w:t>
            </w:r>
            <w:r w:rsidRPr="0079404B">
              <w:rPr>
                <w:rStyle w:val="Superscript"/>
                <w:sz w:val="22"/>
                <w:szCs w:val="22"/>
              </w:rPr>
              <w:t>b</w:t>
            </w:r>
          </w:p>
        </w:tc>
        <w:tc>
          <w:tcPr>
            <w:tcW w:w="1930" w:type="dxa"/>
            <w:tcBorders>
              <w:top w:val="nil"/>
              <w:bottom w:val="single" w:sz="12" w:space="0" w:color="auto"/>
            </w:tcBorders>
            <w:vAlign w:val="bottom"/>
          </w:tcPr>
          <w:p w14:paraId="4FF4B664" w14:textId="77777777" w:rsidR="00EC5413" w:rsidRPr="0079404B" w:rsidRDefault="00EC5413">
            <w:pPr>
              <w:pStyle w:val="Normal10pt0"/>
              <w:keepNext/>
              <w:jc w:val="center"/>
              <w:rPr>
                <w:sz w:val="22"/>
                <w:szCs w:val="22"/>
              </w:rPr>
            </w:pPr>
            <w:r w:rsidRPr="0079404B">
              <w:rPr>
                <w:sz w:val="22"/>
                <w:szCs w:val="22"/>
              </w:rPr>
              <w:t>Seroconversión</w:t>
            </w:r>
            <w:r w:rsidRPr="0079404B">
              <w:rPr>
                <w:rStyle w:val="Superscript"/>
                <w:sz w:val="22"/>
                <w:szCs w:val="22"/>
              </w:rPr>
              <w:t>a</w:t>
            </w:r>
          </w:p>
          <w:p w14:paraId="4FF4B665" w14:textId="77777777" w:rsidR="00EC5413" w:rsidRPr="0079404B" w:rsidRDefault="00EC5413">
            <w:pPr>
              <w:pStyle w:val="Normal10pt0"/>
              <w:keepNext/>
              <w:jc w:val="center"/>
              <w:rPr>
                <w:sz w:val="22"/>
                <w:szCs w:val="22"/>
              </w:rPr>
            </w:pPr>
            <w:r w:rsidRPr="0079404B">
              <w:rPr>
                <w:sz w:val="22"/>
                <w:szCs w:val="22"/>
              </w:rPr>
              <w:t>%</w:t>
            </w:r>
          </w:p>
          <w:p w14:paraId="4FF4B666" w14:textId="77777777" w:rsidR="00EC5413" w:rsidRPr="0079404B" w:rsidRDefault="00EC5413">
            <w:pPr>
              <w:pStyle w:val="Normal10pt0"/>
              <w:keepNext/>
              <w:jc w:val="center"/>
              <w:rPr>
                <w:sz w:val="22"/>
                <w:szCs w:val="22"/>
              </w:rPr>
            </w:pPr>
            <w:r w:rsidRPr="0079404B">
              <w:rPr>
                <w:sz w:val="22"/>
                <w:szCs w:val="22"/>
              </w:rPr>
              <w:t>[IC del 95 %]</w:t>
            </w:r>
          </w:p>
        </w:tc>
        <w:tc>
          <w:tcPr>
            <w:tcW w:w="832" w:type="dxa"/>
            <w:tcBorders>
              <w:top w:val="nil"/>
              <w:bottom w:val="single" w:sz="12" w:space="0" w:color="auto"/>
            </w:tcBorders>
            <w:vAlign w:val="bottom"/>
          </w:tcPr>
          <w:p w14:paraId="4FF4B667" w14:textId="77777777" w:rsidR="00EC5413" w:rsidRPr="0079404B" w:rsidRDefault="00EC5413">
            <w:pPr>
              <w:pStyle w:val="Normal10pt0"/>
              <w:keepNext/>
              <w:jc w:val="center"/>
              <w:rPr>
                <w:sz w:val="22"/>
                <w:szCs w:val="22"/>
              </w:rPr>
            </w:pPr>
            <w:r w:rsidRPr="0079404B">
              <w:rPr>
                <w:sz w:val="22"/>
                <w:szCs w:val="22"/>
              </w:rPr>
              <w:t>N</w:t>
            </w:r>
            <w:r w:rsidRPr="0079404B">
              <w:rPr>
                <w:rStyle w:val="Superscript"/>
                <w:sz w:val="22"/>
                <w:szCs w:val="22"/>
              </w:rPr>
              <w:t>b</w:t>
            </w:r>
          </w:p>
        </w:tc>
        <w:tc>
          <w:tcPr>
            <w:tcW w:w="1518" w:type="dxa"/>
            <w:tcBorders>
              <w:top w:val="nil"/>
              <w:bottom w:val="single" w:sz="12" w:space="0" w:color="auto"/>
            </w:tcBorders>
            <w:vAlign w:val="bottom"/>
          </w:tcPr>
          <w:p w14:paraId="4FF4B668" w14:textId="77777777" w:rsidR="00EC5413" w:rsidRPr="0079404B" w:rsidRDefault="00EC5413">
            <w:pPr>
              <w:pStyle w:val="Normal10pt0"/>
              <w:keepNext/>
              <w:jc w:val="center"/>
              <w:rPr>
                <w:sz w:val="22"/>
                <w:szCs w:val="22"/>
              </w:rPr>
            </w:pPr>
            <w:r w:rsidRPr="0079404B">
              <w:rPr>
                <w:sz w:val="22"/>
                <w:szCs w:val="22"/>
              </w:rPr>
              <w:t>Seroconversión</w:t>
            </w:r>
            <w:r w:rsidRPr="0079404B">
              <w:rPr>
                <w:rStyle w:val="Superscript"/>
                <w:sz w:val="22"/>
                <w:szCs w:val="22"/>
              </w:rPr>
              <w:t>a</w:t>
            </w:r>
          </w:p>
          <w:p w14:paraId="4FF4B669" w14:textId="77777777" w:rsidR="00EC5413" w:rsidRPr="0079404B" w:rsidRDefault="00EC5413">
            <w:pPr>
              <w:pStyle w:val="Normal10pt0"/>
              <w:keepNext/>
              <w:jc w:val="center"/>
              <w:rPr>
                <w:sz w:val="22"/>
                <w:szCs w:val="22"/>
              </w:rPr>
            </w:pPr>
            <w:r w:rsidRPr="0079404B">
              <w:rPr>
                <w:sz w:val="22"/>
                <w:szCs w:val="22"/>
              </w:rPr>
              <w:t>%</w:t>
            </w:r>
          </w:p>
          <w:p w14:paraId="4FF4B66A" w14:textId="77777777" w:rsidR="00EC5413" w:rsidRPr="0079404B" w:rsidRDefault="00EC5413">
            <w:pPr>
              <w:pStyle w:val="Normal10pt0"/>
              <w:keepNext/>
              <w:jc w:val="center"/>
              <w:rPr>
                <w:sz w:val="22"/>
                <w:szCs w:val="22"/>
              </w:rPr>
            </w:pPr>
            <w:r w:rsidRPr="0079404B">
              <w:rPr>
                <w:sz w:val="22"/>
                <w:szCs w:val="22"/>
              </w:rPr>
              <w:t>[IC del 95 %</w:t>
            </w:r>
            <w:r w:rsidRPr="0079404B">
              <w:rPr>
                <w:rStyle w:val="Superscript"/>
                <w:sz w:val="22"/>
                <w:szCs w:val="22"/>
              </w:rPr>
              <w:t>c</w:t>
            </w:r>
            <w:r w:rsidRPr="0079404B">
              <w:rPr>
                <w:sz w:val="22"/>
                <w:szCs w:val="22"/>
              </w:rPr>
              <w:t>]</w:t>
            </w:r>
          </w:p>
        </w:tc>
        <w:tc>
          <w:tcPr>
            <w:tcW w:w="2303" w:type="dxa"/>
            <w:tcBorders>
              <w:top w:val="nil"/>
              <w:bottom w:val="single" w:sz="12" w:space="0" w:color="auto"/>
            </w:tcBorders>
            <w:vAlign w:val="bottom"/>
          </w:tcPr>
          <w:p w14:paraId="4FF4B66B" w14:textId="77777777" w:rsidR="00EC5413" w:rsidRPr="0079404B" w:rsidRDefault="00EC5413">
            <w:pPr>
              <w:pStyle w:val="Normal10pt0"/>
              <w:keepNext/>
              <w:jc w:val="center"/>
              <w:rPr>
                <w:sz w:val="22"/>
                <w:szCs w:val="22"/>
              </w:rPr>
            </w:pPr>
            <w:r w:rsidRPr="0079404B">
              <w:rPr>
                <w:sz w:val="22"/>
                <w:szCs w:val="22"/>
              </w:rPr>
              <w:t>%</w:t>
            </w:r>
            <w:r w:rsidRPr="0079404B">
              <w:rPr>
                <w:rStyle w:val="Superscript"/>
                <w:sz w:val="22"/>
                <w:szCs w:val="22"/>
              </w:rPr>
              <w:t>d</w:t>
            </w:r>
          </w:p>
          <w:p w14:paraId="4FF4B66C" w14:textId="77777777" w:rsidR="00EC5413" w:rsidRPr="0079404B" w:rsidRDefault="00EC5413">
            <w:pPr>
              <w:pStyle w:val="Normal10pt0"/>
              <w:keepNext/>
              <w:jc w:val="center"/>
              <w:rPr>
                <w:sz w:val="22"/>
                <w:szCs w:val="22"/>
              </w:rPr>
            </w:pPr>
            <w:r w:rsidRPr="0079404B">
              <w:rPr>
                <w:sz w:val="22"/>
                <w:szCs w:val="22"/>
              </w:rPr>
              <w:t>[IC del 95 %</w:t>
            </w:r>
            <w:r w:rsidRPr="0079404B">
              <w:rPr>
                <w:rStyle w:val="Superscript"/>
                <w:sz w:val="22"/>
                <w:szCs w:val="22"/>
              </w:rPr>
              <w:t>c</w:t>
            </w:r>
            <w:r w:rsidRPr="0079404B">
              <w:rPr>
                <w:sz w:val="22"/>
                <w:szCs w:val="22"/>
              </w:rPr>
              <w:t>]</w:t>
            </w:r>
          </w:p>
        </w:tc>
      </w:tr>
      <w:tr w:rsidR="00EC5413" w:rsidRPr="00025C22" w14:paraId="4FF4B677" w14:textId="77777777">
        <w:tc>
          <w:tcPr>
            <w:tcW w:w="1624" w:type="dxa"/>
            <w:tcBorders>
              <w:top w:val="single" w:sz="12" w:space="0" w:color="auto"/>
            </w:tcBorders>
          </w:tcPr>
          <w:p w14:paraId="4FF4B66E" w14:textId="67A8E662" w:rsidR="00EC5413" w:rsidRPr="0079404B" w:rsidRDefault="00EC5413">
            <w:pPr>
              <w:pStyle w:val="Normal10pt0"/>
              <w:keepNext/>
              <w:jc w:val="center"/>
              <w:rPr>
                <w:sz w:val="22"/>
                <w:szCs w:val="22"/>
              </w:rPr>
            </w:pPr>
            <w:r w:rsidRPr="0079404B">
              <w:rPr>
                <w:sz w:val="22"/>
                <w:szCs w:val="22"/>
              </w:rPr>
              <w:t>Ensayo de exposición</w:t>
            </w:r>
          </w:p>
          <w:p w14:paraId="4FF4B66F" w14:textId="24F8CECB" w:rsidR="00EC5413" w:rsidRPr="0079404B" w:rsidRDefault="00EC5413">
            <w:pPr>
              <w:pStyle w:val="Normal10pt0"/>
              <w:keepNext/>
              <w:jc w:val="center"/>
              <w:rPr>
                <w:sz w:val="22"/>
                <w:szCs w:val="22"/>
              </w:rPr>
            </w:pPr>
            <w:r w:rsidRPr="0079404B">
              <w:rPr>
                <w:sz w:val="22"/>
                <w:szCs w:val="22"/>
              </w:rPr>
              <w:t>(18–45)</w:t>
            </w:r>
          </w:p>
        </w:tc>
        <w:tc>
          <w:tcPr>
            <w:tcW w:w="850" w:type="dxa"/>
            <w:tcBorders>
              <w:top w:val="single" w:sz="12" w:space="0" w:color="auto"/>
            </w:tcBorders>
          </w:tcPr>
          <w:p w14:paraId="4FF4B670" w14:textId="77777777" w:rsidR="00EC5413" w:rsidRPr="0079404B" w:rsidRDefault="00EC5413">
            <w:pPr>
              <w:pStyle w:val="Normal10pt0"/>
              <w:keepNext/>
              <w:jc w:val="center"/>
              <w:rPr>
                <w:sz w:val="22"/>
                <w:szCs w:val="22"/>
              </w:rPr>
            </w:pPr>
            <w:r w:rsidRPr="0079404B">
              <w:rPr>
                <w:sz w:val="22"/>
                <w:szCs w:val="22"/>
              </w:rPr>
              <w:t>93</w:t>
            </w:r>
          </w:p>
        </w:tc>
        <w:tc>
          <w:tcPr>
            <w:tcW w:w="1930" w:type="dxa"/>
            <w:tcBorders>
              <w:top w:val="single" w:sz="12" w:space="0" w:color="auto"/>
            </w:tcBorders>
          </w:tcPr>
          <w:p w14:paraId="4FF4B671" w14:textId="77777777" w:rsidR="00EC5413" w:rsidRPr="0079404B" w:rsidRDefault="00EC5413">
            <w:pPr>
              <w:pStyle w:val="Normal10pt0"/>
              <w:keepNext/>
              <w:jc w:val="center"/>
              <w:rPr>
                <w:sz w:val="22"/>
                <w:szCs w:val="22"/>
              </w:rPr>
            </w:pPr>
            <w:r w:rsidRPr="0079404B">
              <w:rPr>
                <w:sz w:val="22"/>
                <w:szCs w:val="22"/>
              </w:rPr>
              <w:t>90,3 %</w:t>
            </w:r>
          </w:p>
          <w:p w14:paraId="4FF4B672" w14:textId="77777777" w:rsidR="00EC5413" w:rsidRPr="0079404B" w:rsidRDefault="00EC5413">
            <w:pPr>
              <w:pStyle w:val="Normal10pt0"/>
              <w:keepNext/>
              <w:jc w:val="center"/>
              <w:rPr>
                <w:sz w:val="22"/>
                <w:szCs w:val="22"/>
              </w:rPr>
            </w:pPr>
            <w:r w:rsidRPr="0079404B">
              <w:rPr>
                <w:sz w:val="22"/>
                <w:szCs w:val="22"/>
              </w:rPr>
              <w:t>[82,4 %, 95,5 %]</w:t>
            </w:r>
          </w:p>
        </w:tc>
        <w:tc>
          <w:tcPr>
            <w:tcW w:w="832" w:type="dxa"/>
            <w:tcBorders>
              <w:top w:val="single" w:sz="12" w:space="0" w:color="auto"/>
            </w:tcBorders>
          </w:tcPr>
          <w:p w14:paraId="4FF4B673" w14:textId="77777777" w:rsidR="00EC5413" w:rsidRPr="0079404B" w:rsidRDefault="00EC5413">
            <w:pPr>
              <w:pStyle w:val="Normal10pt0"/>
              <w:keepNext/>
              <w:jc w:val="center"/>
              <w:rPr>
                <w:sz w:val="22"/>
                <w:szCs w:val="22"/>
              </w:rPr>
            </w:pPr>
            <w:r w:rsidRPr="0079404B">
              <w:rPr>
                <w:sz w:val="22"/>
                <w:szCs w:val="22"/>
              </w:rPr>
              <w:t>102</w:t>
            </w:r>
          </w:p>
        </w:tc>
        <w:tc>
          <w:tcPr>
            <w:tcW w:w="1518" w:type="dxa"/>
            <w:tcBorders>
              <w:top w:val="single" w:sz="12" w:space="0" w:color="auto"/>
            </w:tcBorders>
          </w:tcPr>
          <w:p w14:paraId="4FF4B674" w14:textId="77777777" w:rsidR="00EC5413" w:rsidRPr="0079404B" w:rsidRDefault="00EC5413">
            <w:pPr>
              <w:pStyle w:val="Normal10pt0"/>
              <w:keepNext/>
              <w:jc w:val="center"/>
              <w:rPr>
                <w:sz w:val="22"/>
                <w:szCs w:val="22"/>
              </w:rPr>
            </w:pPr>
            <w:r w:rsidRPr="0079404B">
              <w:rPr>
                <w:sz w:val="22"/>
                <w:szCs w:val="22"/>
              </w:rPr>
              <w:t>2,0 %</w:t>
            </w:r>
          </w:p>
          <w:p w14:paraId="4FF4B675" w14:textId="77777777" w:rsidR="00EC5413" w:rsidRPr="0079404B" w:rsidRDefault="00EC5413">
            <w:pPr>
              <w:pStyle w:val="Normal10pt0"/>
              <w:keepNext/>
              <w:jc w:val="center"/>
              <w:rPr>
                <w:sz w:val="22"/>
                <w:szCs w:val="22"/>
              </w:rPr>
            </w:pPr>
            <w:r w:rsidRPr="0079404B">
              <w:rPr>
                <w:sz w:val="22"/>
                <w:szCs w:val="22"/>
              </w:rPr>
              <w:t>[0,2 %, 6,9 %]</w:t>
            </w:r>
          </w:p>
        </w:tc>
        <w:tc>
          <w:tcPr>
            <w:tcW w:w="2310" w:type="dxa"/>
            <w:tcBorders>
              <w:top w:val="single" w:sz="12" w:space="0" w:color="auto"/>
            </w:tcBorders>
          </w:tcPr>
          <w:p w14:paraId="4FF4B676" w14:textId="77777777" w:rsidR="00EC5413" w:rsidRPr="0079404B" w:rsidRDefault="00EC5413">
            <w:pPr>
              <w:pStyle w:val="Normal10pt0"/>
              <w:keepNext/>
              <w:jc w:val="center"/>
              <w:rPr>
                <w:sz w:val="22"/>
                <w:szCs w:val="22"/>
              </w:rPr>
            </w:pPr>
            <w:r w:rsidRPr="0079404B">
              <w:rPr>
                <w:sz w:val="22"/>
                <w:szCs w:val="22"/>
              </w:rPr>
              <w:t>-</w:t>
            </w:r>
          </w:p>
        </w:tc>
      </w:tr>
      <w:tr w:rsidR="00EC5413" w:rsidRPr="00025C22" w14:paraId="4FF4B681" w14:textId="77777777">
        <w:tc>
          <w:tcPr>
            <w:tcW w:w="1624" w:type="dxa"/>
          </w:tcPr>
          <w:p w14:paraId="4FF4B678" w14:textId="7821F9F0" w:rsidR="00EC5413" w:rsidRPr="0079404B" w:rsidRDefault="00EC5413">
            <w:pPr>
              <w:pStyle w:val="Normal10pt0"/>
              <w:keepNext/>
              <w:jc w:val="center"/>
              <w:rPr>
                <w:sz w:val="22"/>
                <w:szCs w:val="22"/>
              </w:rPr>
            </w:pPr>
            <w:r w:rsidRPr="0079404B">
              <w:rPr>
                <w:sz w:val="22"/>
                <w:szCs w:val="22"/>
              </w:rPr>
              <w:t>Estudio 3</w:t>
            </w:r>
          </w:p>
          <w:p w14:paraId="4FF4B679" w14:textId="70643AD0" w:rsidR="00EC5413" w:rsidRPr="0079404B" w:rsidRDefault="00EC5413">
            <w:pPr>
              <w:pStyle w:val="Normal10pt0"/>
              <w:keepNext/>
              <w:jc w:val="center"/>
              <w:rPr>
                <w:sz w:val="22"/>
                <w:szCs w:val="22"/>
              </w:rPr>
            </w:pPr>
            <w:r w:rsidRPr="0079404B">
              <w:rPr>
                <w:sz w:val="22"/>
                <w:szCs w:val="22"/>
              </w:rPr>
              <w:t>(18–45)</w:t>
            </w:r>
          </w:p>
        </w:tc>
        <w:tc>
          <w:tcPr>
            <w:tcW w:w="850" w:type="dxa"/>
          </w:tcPr>
          <w:p w14:paraId="4FF4B67A" w14:textId="50312A5C" w:rsidR="00EC5413" w:rsidRPr="0079404B" w:rsidRDefault="00EC5413">
            <w:pPr>
              <w:pStyle w:val="Normal10pt0"/>
              <w:keepNext/>
              <w:jc w:val="center"/>
              <w:rPr>
                <w:sz w:val="22"/>
                <w:szCs w:val="22"/>
              </w:rPr>
            </w:pPr>
            <w:r w:rsidRPr="0079404B">
              <w:rPr>
                <w:sz w:val="22"/>
                <w:szCs w:val="22"/>
              </w:rPr>
              <w:t>2 687</w:t>
            </w:r>
          </w:p>
        </w:tc>
        <w:tc>
          <w:tcPr>
            <w:tcW w:w="1930" w:type="dxa"/>
          </w:tcPr>
          <w:p w14:paraId="4FF4B67B" w14:textId="77777777" w:rsidR="00EC5413" w:rsidRPr="0079404B" w:rsidRDefault="00EC5413">
            <w:pPr>
              <w:pStyle w:val="Normal10pt0"/>
              <w:keepNext/>
              <w:jc w:val="center"/>
              <w:rPr>
                <w:sz w:val="22"/>
                <w:szCs w:val="22"/>
              </w:rPr>
            </w:pPr>
            <w:r w:rsidRPr="0079404B">
              <w:rPr>
                <w:sz w:val="22"/>
                <w:szCs w:val="22"/>
              </w:rPr>
              <w:t>93,5 %</w:t>
            </w:r>
          </w:p>
          <w:p w14:paraId="4FF4B67C" w14:textId="77777777" w:rsidR="00EC5413" w:rsidRPr="0079404B" w:rsidRDefault="00EC5413">
            <w:pPr>
              <w:pStyle w:val="Normal10pt0"/>
              <w:keepNext/>
              <w:jc w:val="center"/>
              <w:rPr>
                <w:sz w:val="22"/>
                <w:szCs w:val="22"/>
              </w:rPr>
            </w:pPr>
            <w:r w:rsidRPr="0079404B">
              <w:rPr>
                <w:sz w:val="22"/>
                <w:szCs w:val="22"/>
              </w:rPr>
              <w:t>[92,5 %, 94,4 %]</w:t>
            </w:r>
          </w:p>
        </w:tc>
        <w:tc>
          <w:tcPr>
            <w:tcW w:w="832" w:type="dxa"/>
          </w:tcPr>
          <w:p w14:paraId="4FF4B67D" w14:textId="77777777" w:rsidR="00EC5413" w:rsidRPr="0079404B" w:rsidRDefault="00EC5413">
            <w:pPr>
              <w:pStyle w:val="Normal10pt0"/>
              <w:keepNext/>
              <w:jc w:val="center"/>
              <w:rPr>
                <w:sz w:val="22"/>
                <w:szCs w:val="22"/>
              </w:rPr>
            </w:pPr>
            <w:r w:rsidRPr="0079404B">
              <w:rPr>
                <w:sz w:val="22"/>
                <w:szCs w:val="22"/>
              </w:rPr>
              <w:t>334</w:t>
            </w:r>
          </w:p>
        </w:tc>
        <w:tc>
          <w:tcPr>
            <w:tcW w:w="1518" w:type="dxa"/>
          </w:tcPr>
          <w:p w14:paraId="4FF4B67E" w14:textId="77777777" w:rsidR="00EC5413" w:rsidRPr="0079404B" w:rsidRDefault="00EC5413">
            <w:pPr>
              <w:pStyle w:val="Normal10pt0"/>
              <w:keepNext/>
              <w:jc w:val="center"/>
              <w:rPr>
                <w:sz w:val="22"/>
                <w:szCs w:val="22"/>
              </w:rPr>
            </w:pPr>
            <w:r w:rsidRPr="0079404B">
              <w:rPr>
                <w:sz w:val="22"/>
                <w:szCs w:val="22"/>
              </w:rPr>
              <w:t>4,2 %</w:t>
            </w:r>
          </w:p>
          <w:p w14:paraId="4FF4B67F" w14:textId="77777777" w:rsidR="00EC5413" w:rsidRPr="0079404B" w:rsidRDefault="00EC5413">
            <w:pPr>
              <w:pStyle w:val="Normal10pt0"/>
              <w:keepNext/>
              <w:jc w:val="center"/>
              <w:rPr>
                <w:sz w:val="22"/>
                <w:szCs w:val="22"/>
              </w:rPr>
            </w:pPr>
            <w:r w:rsidRPr="0079404B">
              <w:rPr>
                <w:sz w:val="22"/>
                <w:szCs w:val="22"/>
              </w:rPr>
              <w:t>[2,3 %, 6,9 %]</w:t>
            </w:r>
          </w:p>
        </w:tc>
        <w:tc>
          <w:tcPr>
            <w:tcW w:w="2310" w:type="dxa"/>
          </w:tcPr>
          <w:p w14:paraId="4FF4B680" w14:textId="77777777" w:rsidR="00EC5413" w:rsidRPr="0079404B" w:rsidRDefault="00EC5413">
            <w:pPr>
              <w:pStyle w:val="Normal10pt0"/>
              <w:keepNext/>
              <w:jc w:val="center"/>
              <w:rPr>
                <w:sz w:val="22"/>
                <w:szCs w:val="22"/>
              </w:rPr>
            </w:pPr>
            <w:r w:rsidRPr="0079404B">
              <w:rPr>
                <w:sz w:val="22"/>
                <w:szCs w:val="22"/>
              </w:rPr>
              <w:t>-</w:t>
            </w:r>
          </w:p>
        </w:tc>
      </w:tr>
      <w:tr w:rsidR="00EC5413" w:rsidRPr="00025C22" w14:paraId="4FF4B68C" w14:textId="77777777">
        <w:tc>
          <w:tcPr>
            <w:tcW w:w="1624" w:type="dxa"/>
            <w:tcBorders>
              <w:bottom w:val="single" w:sz="12" w:space="0" w:color="auto"/>
            </w:tcBorders>
          </w:tcPr>
          <w:p w14:paraId="4FF4B682" w14:textId="0932DB60" w:rsidR="00EC5413" w:rsidRPr="0079404B" w:rsidRDefault="00EC5413">
            <w:pPr>
              <w:pStyle w:val="Normal10pt0"/>
              <w:keepNext/>
              <w:jc w:val="center"/>
              <w:rPr>
                <w:sz w:val="22"/>
                <w:szCs w:val="22"/>
              </w:rPr>
            </w:pPr>
            <w:r w:rsidRPr="0079404B">
              <w:rPr>
                <w:sz w:val="22"/>
                <w:szCs w:val="22"/>
              </w:rPr>
              <w:t>Estudio 4</w:t>
            </w:r>
          </w:p>
          <w:p w14:paraId="4FF4B683" w14:textId="21BB6BEA" w:rsidR="00EC5413" w:rsidRPr="0079404B" w:rsidRDefault="00EC5413">
            <w:pPr>
              <w:pStyle w:val="Normal10pt0"/>
              <w:keepNext/>
              <w:jc w:val="center"/>
              <w:rPr>
                <w:sz w:val="22"/>
                <w:szCs w:val="22"/>
              </w:rPr>
            </w:pPr>
            <w:r w:rsidRPr="0079404B">
              <w:rPr>
                <w:sz w:val="22"/>
                <w:szCs w:val="22"/>
              </w:rPr>
              <w:t>(46–64)</w:t>
            </w:r>
          </w:p>
        </w:tc>
        <w:tc>
          <w:tcPr>
            <w:tcW w:w="850" w:type="dxa"/>
            <w:tcBorders>
              <w:bottom w:val="single" w:sz="12" w:space="0" w:color="auto"/>
            </w:tcBorders>
          </w:tcPr>
          <w:p w14:paraId="4FF4B684" w14:textId="77777777" w:rsidR="00EC5413" w:rsidRPr="0079404B" w:rsidRDefault="00EC5413">
            <w:pPr>
              <w:pStyle w:val="Normal10pt0"/>
              <w:keepNext/>
              <w:jc w:val="center"/>
              <w:rPr>
                <w:sz w:val="22"/>
                <w:szCs w:val="22"/>
              </w:rPr>
            </w:pPr>
            <w:r w:rsidRPr="0079404B">
              <w:rPr>
                <w:sz w:val="22"/>
                <w:szCs w:val="22"/>
              </w:rPr>
              <w:t>291</w:t>
            </w:r>
          </w:p>
        </w:tc>
        <w:tc>
          <w:tcPr>
            <w:tcW w:w="1930" w:type="dxa"/>
            <w:tcBorders>
              <w:bottom w:val="single" w:sz="12" w:space="0" w:color="auto"/>
            </w:tcBorders>
          </w:tcPr>
          <w:p w14:paraId="4FF4B685" w14:textId="77777777" w:rsidR="00EC5413" w:rsidRPr="0079404B" w:rsidRDefault="00EC5413">
            <w:pPr>
              <w:pStyle w:val="Normal10pt0"/>
              <w:keepNext/>
              <w:jc w:val="center"/>
              <w:rPr>
                <w:sz w:val="22"/>
                <w:szCs w:val="22"/>
              </w:rPr>
            </w:pPr>
            <w:r w:rsidRPr="0079404B">
              <w:rPr>
                <w:sz w:val="22"/>
                <w:szCs w:val="22"/>
              </w:rPr>
              <w:t>90,4 %</w:t>
            </w:r>
          </w:p>
          <w:p w14:paraId="4FF4B686" w14:textId="77777777" w:rsidR="00EC5413" w:rsidRPr="0079404B" w:rsidRDefault="00EC5413">
            <w:pPr>
              <w:pStyle w:val="Normal10pt0"/>
              <w:keepNext/>
              <w:jc w:val="center"/>
              <w:rPr>
                <w:sz w:val="22"/>
                <w:szCs w:val="22"/>
              </w:rPr>
            </w:pPr>
            <w:r w:rsidRPr="0079404B">
              <w:rPr>
                <w:sz w:val="22"/>
                <w:szCs w:val="22"/>
              </w:rPr>
              <w:t>[86,4 %, 93,5 %]</w:t>
            </w:r>
          </w:p>
        </w:tc>
        <w:tc>
          <w:tcPr>
            <w:tcW w:w="832" w:type="dxa"/>
            <w:tcBorders>
              <w:bottom w:val="single" w:sz="12" w:space="0" w:color="auto"/>
            </w:tcBorders>
          </w:tcPr>
          <w:p w14:paraId="4FF4B687" w14:textId="77777777" w:rsidR="00EC5413" w:rsidRPr="0079404B" w:rsidRDefault="00EC5413">
            <w:pPr>
              <w:pStyle w:val="Normal10pt0"/>
              <w:keepNext/>
              <w:jc w:val="center"/>
              <w:rPr>
                <w:sz w:val="22"/>
                <w:szCs w:val="22"/>
              </w:rPr>
            </w:pPr>
            <w:r w:rsidRPr="0079404B">
              <w:rPr>
                <w:sz w:val="22"/>
                <w:szCs w:val="22"/>
              </w:rPr>
              <w:t>99</w:t>
            </w:r>
          </w:p>
        </w:tc>
        <w:tc>
          <w:tcPr>
            <w:tcW w:w="1518" w:type="dxa"/>
            <w:tcBorders>
              <w:bottom w:val="single" w:sz="12" w:space="0" w:color="auto"/>
            </w:tcBorders>
          </w:tcPr>
          <w:p w14:paraId="4FF4B688" w14:textId="77777777" w:rsidR="00EC5413" w:rsidRPr="0079404B" w:rsidRDefault="00EC5413">
            <w:pPr>
              <w:pStyle w:val="Normal10pt0"/>
              <w:keepNext/>
              <w:jc w:val="center"/>
              <w:rPr>
                <w:sz w:val="22"/>
                <w:szCs w:val="22"/>
              </w:rPr>
            </w:pPr>
            <w:r w:rsidRPr="0079404B">
              <w:rPr>
                <w:sz w:val="22"/>
                <w:szCs w:val="22"/>
              </w:rPr>
              <w:t>0 %</w:t>
            </w:r>
          </w:p>
          <w:p w14:paraId="4FF4B689" w14:textId="77777777" w:rsidR="00EC5413" w:rsidRPr="0079404B" w:rsidRDefault="00EC5413">
            <w:pPr>
              <w:pStyle w:val="Normal10pt0"/>
              <w:keepNext/>
              <w:jc w:val="center"/>
              <w:rPr>
                <w:sz w:val="22"/>
                <w:szCs w:val="22"/>
              </w:rPr>
            </w:pPr>
            <w:r w:rsidRPr="0079404B">
              <w:rPr>
                <w:sz w:val="22"/>
                <w:szCs w:val="22"/>
              </w:rPr>
              <w:t>[0,0 %, 3,7 %]</w:t>
            </w:r>
          </w:p>
        </w:tc>
        <w:tc>
          <w:tcPr>
            <w:tcW w:w="2310" w:type="dxa"/>
            <w:tcBorders>
              <w:bottom w:val="single" w:sz="12" w:space="0" w:color="auto"/>
            </w:tcBorders>
          </w:tcPr>
          <w:p w14:paraId="4FF4B68A" w14:textId="2E27B338" w:rsidR="00EC5413" w:rsidRPr="0079404B" w:rsidRDefault="00EC5413">
            <w:pPr>
              <w:pStyle w:val="Normal10pt0"/>
              <w:keepNext/>
              <w:jc w:val="center"/>
              <w:rPr>
                <w:sz w:val="22"/>
                <w:szCs w:val="22"/>
              </w:rPr>
            </w:pPr>
            <w:r w:rsidRPr="0079404B">
              <w:rPr>
                <w:sz w:val="22"/>
                <w:szCs w:val="22"/>
              </w:rPr>
              <w:noBreakHyphen/>
              <w:t>3,1 %</w:t>
            </w:r>
          </w:p>
          <w:p w14:paraId="4FF4B68B" w14:textId="77777777" w:rsidR="00EC5413" w:rsidRPr="0079404B" w:rsidRDefault="00EC5413">
            <w:pPr>
              <w:pStyle w:val="Normal10pt0"/>
              <w:keepNext/>
              <w:jc w:val="center"/>
              <w:rPr>
                <w:sz w:val="22"/>
                <w:szCs w:val="22"/>
              </w:rPr>
            </w:pPr>
            <w:r w:rsidRPr="0079404B">
              <w:rPr>
                <w:sz w:val="22"/>
                <w:szCs w:val="22"/>
              </w:rPr>
              <w:t>[</w:t>
            </w:r>
            <w:r w:rsidRPr="0079404B">
              <w:rPr>
                <w:sz w:val="22"/>
                <w:szCs w:val="22"/>
              </w:rPr>
              <w:noBreakHyphen/>
              <w:t>6,7 %, 0,4 %]</w:t>
            </w:r>
          </w:p>
        </w:tc>
      </w:tr>
    </w:tbl>
    <w:p w14:paraId="4FF4B68D" w14:textId="77777777" w:rsidR="00EC5413" w:rsidRDefault="00EC5413" w:rsidP="006A20D0">
      <w:pPr>
        <w:pStyle w:val="Normal10pt0"/>
        <w:keepNext/>
        <w:ind w:left="284" w:hanging="284"/>
      </w:pPr>
      <w:r>
        <w:rPr>
          <w:rStyle w:val="Superscript"/>
        </w:rPr>
        <w:t>a</w:t>
      </w:r>
      <w:r>
        <w:tab/>
        <w:t>La seroconversión se define como el porcentaje de sujetos que alcazaron un aumento de al menos cuatro veces en el título de anticuerpos vibriocidas 10 días después de la vacunación en comparación con el valor inicial.</w:t>
      </w:r>
    </w:p>
    <w:p w14:paraId="4FF4B68E" w14:textId="3D808122" w:rsidR="00EC5413" w:rsidRDefault="00EC5413" w:rsidP="00CB06CB">
      <w:pPr>
        <w:pStyle w:val="Normal10pt0"/>
        <w:keepNext/>
        <w:ind w:left="284" w:hanging="284"/>
      </w:pPr>
      <w:r>
        <w:rPr>
          <w:rStyle w:val="Superscript"/>
        </w:rPr>
        <w:t>b</w:t>
      </w:r>
      <w:r>
        <w:tab/>
        <w:t>N</w:t>
      </w:r>
      <w:r w:rsidR="00D93C93">
        <w:t xml:space="preserve"> </w:t>
      </w:r>
      <w:r>
        <w:t>=</w:t>
      </w:r>
      <w:r w:rsidR="00D93C93">
        <w:t xml:space="preserve"> </w:t>
      </w:r>
      <w:r>
        <w:t>número de sujetos con muestras analizadas el día 1 y el día 11.</w:t>
      </w:r>
    </w:p>
    <w:p w14:paraId="4FF4B68F" w14:textId="0054573F" w:rsidR="00EC5413" w:rsidRDefault="00EC5413" w:rsidP="00CB06CB">
      <w:pPr>
        <w:pStyle w:val="Normal10pt0"/>
        <w:keepNext/>
        <w:ind w:left="284" w:hanging="284"/>
      </w:pPr>
      <w:r>
        <w:rPr>
          <w:rStyle w:val="Superscript"/>
        </w:rPr>
        <w:t>c</w:t>
      </w:r>
      <w:r>
        <w:tab/>
        <w:t>IC</w:t>
      </w:r>
      <w:r w:rsidR="00D93C93">
        <w:t xml:space="preserve"> </w:t>
      </w:r>
      <w:r>
        <w:t>=</w:t>
      </w:r>
      <w:r w:rsidR="00D93C93">
        <w:t xml:space="preserve"> </w:t>
      </w:r>
      <w:r>
        <w:t>intervalo de confianza.</w:t>
      </w:r>
    </w:p>
    <w:p w14:paraId="4FF4B690" w14:textId="31ED5246" w:rsidR="00EC5413" w:rsidRDefault="00EC5413" w:rsidP="00CB06CB">
      <w:pPr>
        <w:pStyle w:val="Normal10pt0"/>
        <w:ind w:left="284" w:hanging="284"/>
      </w:pPr>
      <w:r>
        <w:rPr>
          <w:rStyle w:val="Superscript"/>
        </w:rPr>
        <w:t>d</w:t>
      </w:r>
      <w:r>
        <w:tab/>
        <w:t>Criterio de no inferioridad: el límite inferior del intervalo de confianza bilateral del 95 % de la diferencia en las tasas de seroconversión comparadas con los adultos de 18 a &lt; 46 años tenía que ser mayor de –10 puntos porcentuales, y el límite inferior del intervalo de confianza bilateral del 95 % de la proporción de vacunados que mostraron seroconversión 10 días después de la vacunación, tenía que ser igual o superior al 70 %.</w:t>
      </w:r>
    </w:p>
    <w:p w14:paraId="4FF4B691" w14:textId="77777777" w:rsidR="00EC5413" w:rsidRDefault="00EC5413"/>
    <w:p w14:paraId="4FF4B692" w14:textId="7EE8566B" w:rsidR="00EC5413" w:rsidRDefault="00EC5413">
      <w:r>
        <w:t xml:space="preserve">Los datos disponibles de tasas de seroconversión frente a otros biotipos y serotipos de </w:t>
      </w:r>
      <w:r>
        <w:rPr>
          <w:rStyle w:val="Emphasis"/>
        </w:rPr>
        <w:t>Vibrio</w:t>
      </w:r>
      <w:r>
        <w:t xml:space="preserve"> </w:t>
      </w:r>
      <w:r>
        <w:rPr>
          <w:rStyle w:val="Emphasis"/>
        </w:rPr>
        <w:t>cholerae</w:t>
      </w:r>
      <w:r>
        <w:t xml:space="preserve"> se muestran en la Tabla 3. Las tasas de seroconversión para estos biotipos y serotipos no se determinaron en niños.</w:t>
      </w:r>
    </w:p>
    <w:p w14:paraId="4FF4B693" w14:textId="77777777" w:rsidR="00EC5413" w:rsidRDefault="00EC5413"/>
    <w:p w14:paraId="4FF4B694" w14:textId="79C8FE30" w:rsidR="00EC5413" w:rsidRDefault="00EC5413">
      <w:pPr>
        <w:pStyle w:val="TableTitle"/>
        <w:ind w:left="851" w:hanging="851"/>
        <w:rPr>
          <w:rStyle w:val="Strong"/>
        </w:rPr>
      </w:pPr>
      <w:r>
        <w:lastRenderedPageBreak/>
        <w:t xml:space="preserve">Tabla 3: Tasas de seroconversión 10 días después de la vacunación para los cuatro biotipos y serotipos principales del serogrupo O1 de </w:t>
      </w:r>
      <w:r>
        <w:rPr>
          <w:rStyle w:val="Emphasis"/>
        </w:rPr>
        <w:t>Vibrio cholerae</w:t>
      </w:r>
      <w:r>
        <w:t xml:space="preserve"> [población evaluable para inmunogenicidad</w:t>
      </w:r>
      <w:r>
        <w:rPr>
          <w:rStyle w:val="Strong"/>
        </w:rPr>
        <w:t>]</w:t>
      </w:r>
    </w:p>
    <w:p w14:paraId="4FF4B695" w14:textId="77777777" w:rsidR="00EC5413" w:rsidRDefault="00EC5413">
      <w:pPr>
        <w:keepNext/>
      </w:pPr>
    </w:p>
    <w:tbl>
      <w:tblPr>
        <w:tblW w:w="0" w:type="auto"/>
        <w:tblInd w:w="2" w:type="dxa"/>
        <w:tblBorders>
          <w:top w:val="single" w:sz="12" w:space="0" w:color="auto"/>
          <w:left w:val="single" w:sz="12" w:space="0" w:color="auto"/>
          <w:bottom w:val="single" w:sz="12" w:space="0" w:color="auto"/>
          <w:right w:val="single" w:sz="12" w:space="0" w:color="auto"/>
        </w:tblBorders>
        <w:tblCellMar>
          <w:top w:w="85" w:type="dxa"/>
          <w:bottom w:w="85" w:type="dxa"/>
        </w:tblCellMar>
        <w:tblLook w:val="00A0" w:firstRow="1" w:lastRow="0" w:firstColumn="1" w:lastColumn="0" w:noHBand="0" w:noVBand="0"/>
      </w:tblPr>
      <w:tblGrid>
        <w:gridCol w:w="1821"/>
        <w:gridCol w:w="1792"/>
        <w:gridCol w:w="1822"/>
        <w:gridCol w:w="1798"/>
        <w:gridCol w:w="1822"/>
      </w:tblGrid>
      <w:tr w:rsidR="00EC5413" w:rsidRPr="00025C22" w14:paraId="4FF4B69D" w14:textId="77777777">
        <w:tc>
          <w:tcPr>
            <w:tcW w:w="1860" w:type="dxa"/>
            <w:vMerge w:val="restart"/>
            <w:tcBorders>
              <w:top w:val="single" w:sz="12" w:space="0" w:color="auto"/>
              <w:bottom w:val="nil"/>
            </w:tcBorders>
            <w:vAlign w:val="bottom"/>
          </w:tcPr>
          <w:p w14:paraId="4FF4B696" w14:textId="77777777" w:rsidR="00EC5413" w:rsidRPr="00025C22" w:rsidRDefault="00EC5413">
            <w:pPr>
              <w:pStyle w:val="Normal10pt0"/>
              <w:keepNext/>
              <w:rPr>
                <w:rStyle w:val="Strong"/>
                <w:sz w:val="22"/>
                <w:szCs w:val="22"/>
              </w:rPr>
            </w:pPr>
            <w:r w:rsidRPr="0079404B">
              <w:rPr>
                <w:rStyle w:val="Strong"/>
                <w:sz w:val="22"/>
                <w:szCs w:val="22"/>
              </w:rPr>
              <w:t>Cepa del cólera</w:t>
            </w:r>
          </w:p>
        </w:tc>
        <w:tc>
          <w:tcPr>
            <w:tcW w:w="3721" w:type="dxa"/>
            <w:gridSpan w:val="2"/>
            <w:tcBorders>
              <w:top w:val="single" w:sz="12" w:space="0" w:color="auto"/>
              <w:bottom w:val="nil"/>
            </w:tcBorders>
          </w:tcPr>
          <w:p w14:paraId="4FF4B697" w14:textId="77777777" w:rsidR="00EC5413" w:rsidRPr="0079404B" w:rsidRDefault="00EC5413">
            <w:pPr>
              <w:pStyle w:val="Normal10pt0"/>
              <w:keepNext/>
              <w:jc w:val="center"/>
              <w:rPr>
                <w:rStyle w:val="Strong"/>
                <w:sz w:val="22"/>
                <w:szCs w:val="22"/>
              </w:rPr>
            </w:pPr>
            <w:r w:rsidRPr="0079404B">
              <w:rPr>
                <w:rStyle w:val="Strong"/>
                <w:sz w:val="22"/>
                <w:szCs w:val="22"/>
              </w:rPr>
              <w:t>Adultos jóvenes</w:t>
            </w:r>
          </w:p>
          <w:p w14:paraId="4FF4B698" w14:textId="2ECC710C" w:rsidR="00EC5413" w:rsidRPr="0079404B" w:rsidRDefault="00EC5413">
            <w:pPr>
              <w:pStyle w:val="Normal10pt0"/>
              <w:keepNext/>
              <w:jc w:val="center"/>
              <w:rPr>
                <w:rStyle w:val="Strong"/>
                <w:sz w:val="22"/>
                <w:szCs w:val="22"/>
              </w:rPr>
            </w:pPr>
            <w:r w:rsidRPr="0079404B">
              <w:rPr>
                <w:rStyle w:val="Strong"/>
                <w:sz w:val="22"/>
                <w:szCs w:val="22"/>
              </w:rPr>
              <w:t>(de 18 a 45 años)</w:t>
            </w:r>
          </w:p>
          <w:p w14:paraId="4FF4B699" w14:textId="77777777" w:rsidR="00EC5413" w:rsidRPr="0079404B" w:rsidRDefault="00EC5413">
            <w:pPr>
              <w:pStyle w:val="Normal10pt0"/>
              <w:keepNext/>
              <w:jc w:val="center"/>
              <w:rPr>
                <w:rStyle w:val="Strong"/>
                <w:sz w:val="22"/>
                <w:szCs w:val="22"/>
              </w:rPr>
            </w:pPr>
            <w:r w:rsidRPr="0079404B">
              <w:rPr>
                <w:rStyle w:val="Strong"/>
                <w:sz w:val="22"/>
                <w:szCs w:val="22"/>
              </w:rPr>
              <w:t>Vaxchora</w:t>
            </w:r>
          </w:p>
        </w:tc>
        <w:tc>
          <w:tcPr>
            <w:tcW w:w="3722" w:type="dxa"/>
            <w:gridSpan w:val="2"/>
            <w:tcBorders>
              <w:top w:val="single" w:sz="12" w:space="0" w:color="auto"/>
              <w:bottom w:val="nil"/>
            </w:tcBorders>
          </w:tcPr>
          <w:p w14:paraId="4FF4B69A" w14:textId="77777777" w:rsidR="00EC5413" w:rsidRPr="0079404B" w:rsidRDefault="00EC5413">
            <w:pPr>
              <w:pStyle w:val="Normal10pt0"/>
              <w:keepNext/>
              <w:jc w:val="center"/>
              <w:rPr>
                <w:rStyle w:val="Strong"/>
                <w:sz w:val="22"/>
                <w:szCs w:val="22"/>
              </w:rPr>
            </w:pPr>
            <w:r w:rsidRPr="0079404B">
              <w:rPr>
                <w:rStyle w:val="Strong"/>
                <w:sz w:val="22"/>
                <w:szCs w:val="22"/>
              </w:rPr>
              <w:t>Adultos mayores</w:t>
            </w:r>
          </w:p>
          <w:p w14:paraId="4FF4B69B" w14:textId="7419ABB4" w:rsidR="00EC5413" w:rsidRPr="0079404B" w:rsidRDefault="00EC5413">
            <w:pPr>
              <w:pStyle w:val="Normal10pt0"/>
              <w:keepNext/>
              <w:jc w:val="center"/>
              <w:rPr>
                <w:rStyle w:val="Strong"/>
                <w:sz w:val="22"/>
                <w:szCs w:val="22"/>
              </w:rPr>
            </w:pPr>
            <w:r w:rsidRPr="0079404B">
              <w:rPr>
                <w:rStyle w:val="Strong"/>
                <w:sz w:val="22"/>
                <w:szCs w:val="22"/>
              </w:rPr>
              <w:t>(de 46 a 64 años)</w:t>
            </w:r>
          </w:p>
          <w:p w14:paraId="4FF4B69C" w14:textId="77777777" w:rsidR="00EC5413" w:rsidRPr="0079404B" w:rsidRDefault="00EC5413">
            <w:pPr>
              <w:pStyle w:val="Normal10pt0"/>
              <w:keepNext/>
              <w:jc w:val="center"/>
              <w:rPr>
                <w:rStyle w:val="Strong"/>
                <w:sz w:val="22"/>
                <w:szCs w:val="22"/>
              </w:rPr>
            </w:pPr>
            <w:r w:rsidRPr="0079404B">
              <w:rPr>
                <w:rStyle w:val="Strong"/>
                <w:sz w:val="22"/>
                <w:szCs w:val="22"/>
              </w:rPr>
              <w:t>Vaxchora</w:t>
            </w:r>
          </w:p>
        </w:tc>
      </w:tr>
      <w:tr w:rsidR="00EC5413" w:rsidRPr="00025C22" w14:paraId="4FF4B6A5" w14:textId="77777777">
        <w:tc>
          <w:tcPr>
            <w:tcW w:w="1860" w:type="dxa"/>
            <w:vMerge/>
            <w:tcBorders>
              <w:top w:val="nil"/>
              <w:bottom w:val="single" w:sz="12" w:space="0" w:color="auto"/>
            </w:tcBorders>
          </w:tcPr>
          <w:p w14:paraId="4FF4B69E" w14:textId="77777777" w:rsidR="00EC5413" w:rsidRPr="0079404B" w:rsidRDefault="00EC5413">
            <w:pPr>
              <w:pStyle w:val="Normal10pt0"/>
              <w:keepNext/>
              <w:rPr>
                <w:sz w:val="22"/>
                <w:szCs w:val="22"/>
              </w:rPr>
            </w:pPr>
          </w:p>
        </w:tc>
        <w:tc>
          <w:tcPr>
            <w:tcW w:w="1860" w:type="dxa"/>
            <w:tcBorders>
              <w:top w:val="nil"/>
              <w:bottom w:val="single" w:sz="12" w:space="0" w:color="auto"/>
            </w:tcBorders>
            <w:vAlign w:val="center"/>
          </w:tcPr>
          <w:p w14:paraId="4FF4B69F" w14:textId="77777777" w:rsidR="00EC5413" w:rsidRPr="0079404B" w:rsidRDefault="00EC5413">
            <w:pPr>
              <w:pStyle w:val="Normal10pt0"/>
              <w:keepNext/>
              <w:jc w:val="center"/>
              <w:rPr>
                <w:sz w:val="22"/>
                <w:szCs w:val="22"/>
              </w:rPr>
            </w:pPr>
            <w:r w:rsidRPr="0079404B">
              <w:rPr>
                <w:sz w:val="22"/>
                <w:szCs w:val="22"/>
              </w:rPr>
              <w:t>N</w:t>
            </w:r>
            <w:r w:rsidRPr="0079404B">
              <w:rPr>
                <w:rStyle w:val="Superscript"/>
                <w:sz w:val="22"/>
                <w:szCs w:val="22"/>
              </w:rPr>
              <w:t>a</w:t>
            </w:r>
          </w:p>
        </w:tc>
        <w:tc>
          <w:tcPr>
            <w:tcW w:w="1861" w:type="dxa"/>
            <w:tcBorders>
              <w:top w:val="nil"/>
              <w:bottom w:val="single" w:sz="12" w:space="0" w:color="auto"/>
            </w:tcBorders>
          </w:tcPr>
          <w:p w14:paraId="4FF4B6A0" w14:textId="77777777" w:rsidR="00EC5413" w:rsidRPr="0079404B" w:rsidRDefault="00EC5413">
            <w:pPr>
              <w:pStyle w:val="Normal10pt0"/>
              <w:keepNext/>
              <w:jc w:val="center"/>
              <w:rPr>
                <w:rStyle w:val="Superscript"/>
                <w:sz w:val="22"/>
                <w:szCs w:val="22"/>
              </w:rPr>
            </w:pPr>
            <w:r w:rsidRPr="0079404B">
              <w:rPr>
                <w:sz w:val="22"/>
                <w:szCs w:val="22"/>
              </w:rPr>
              <w:t>%</w:t>
            </w:r>
            <w:r w:rsidRPr="0079404B">
              <w:rPr>
                <w:rStyle w:val="Superscript"/>
                <w:sz w:val="22"/>
                <w:szCs w:val="22"/>
              </w:rPr>
              <w:t>b</w:t>
            </w:r>
          </w:p>
          <w:p w14:paraId="4FF4B6A1" w14:textId="77777777" w:rsidR="00EC5413" w:rsidRPr="0079404B" w:rsidRDefault="00EC5413">
            <w:pPr>
              <w:pStyle w:val="Normal10pt0"/>
              <w:keepNext/>
              <w:jc w:val="center"/>
              <w:rPr>
                <w:sz w:val="22"/>
                <w:szCs w:val="22"/>
              </w:rPr>
            </w:pPr>
            <w:r w:rsidRPr="0079404B">
              <w:rPr>
                <w:sz w:val="22"/>
                <w:szCs w:val="22"/>
              </w:rPr>
              <w:t>[IC del 95 %</w:t>
            </w:r>
            <w:r w:rsidRPr="0079404B">
              <w:rPr>
                <w:rStyle w:val="Superscript"/>
                <w:sz w:val="22"/>
                <w:szCs w:val="22"/>
              </w:rPr>
              <w:t>c</w:t>
            </w:r>
            <w:r w:rsidRPr="0079404B">
              <w:rPr>
                <w:sz w:val="22"/>
                <w:szCs w:val="22"/>
              </w:rPr>
              <w:t>]</w:t>
            </w:r>
          </w:p>
        </w:tc>
        <w:tc>
          <w:tcPr>
            <w:tcW w:w="1861" w:type="dxa"/>
            <w:tcBorders>
              <w:top w:val="nil"/>
              <w:bottom w:val="single" w:sz="12" w:space="0" w:color="auto"/>
            </w:tcBorders>
            <w:vAlign w:val="center"/>
          </w:tcPr>
          <w:p w14:paraId="4FF4B6A2" w14:textId="77777777" w:rsidR="00EC5413" w:rsidRPr="0079404B" w:rsidRDefault="00EC5413">
            <w:pPr>
              <w:pStyle w:val="Normal10pt0"/>
              <w:keepNext/>
              <w:jc w:val="center"/>
              <w:rPr>
                <w:sz w:val="22"/>
                <w:szCs w:val="22"/>
              </w:rPr>
            </w:pPr>
            <w:r w:rsidRPr="0079404B">
              <w:rPr>
                <w:sz w:val="22"/>
                <w:szCs w:val="22"/>
              </w:rPr>
              <w:t>N</w:t>
            </w:r>
            <w:r w:rsidRPr="0079404B">
              <w:rPr>
                <w:rStyle w:val="Superscript"/>
                <w:sz w:val="22"/>
                <w:szCs w:val="22"/>
              </w:rPr>
              <w:t>a</w:t>
            </w:r>
          </w:p>
        </w:tc>
        <w:tc>
          <w:tcPr>
            <w:tcW w:w="1861" w:type="dxa"/>
            <w:tcBorders>
              <w:top w:val="nil"/>
              <w:bottom w:val="single" w:sz="12" w:space="0" w:color="auto"/>
            </w:tcBorders>
          </w:tcPr>
          <w:p w14:paraId="4FF4B6A3" w14:textId="77777777" w:rsidR="00EC5413" w:rsidRPr="0079404B" w:rsidRDefault="00EC5413">
            <w:pPr>
              <w:pStyle w:val="Normal10pt0"/>
              <w:keepNext/>
              <w:jc w:val="center"/>
              <w:rPr>
                <w:sz w:val="22"/>
                <w:szCs w:val="22"/>
              </w:rPr>
            </w:pPr>
            <w:r w:rsidRPr="0079404B">
              <w:rPr>
                <w:sz w:val="22"/>
                <w:szCs w:val="22"/>
              </w:rPr>
              <w:t>%</w:t>
            </w:r>
          </w:p>
          <w:p w14:paraId="4FF4B6A4" w14:textId="77777777" w:rsidR="00EC5413" w:rsidRPr="0079404B" w:rsidRDefault="00EC5413">
            <w:pPr>
              <w:pStyle w:val="Normal10pt0"/>
              <w:keepNext/>
              <w:jc w:val="center"/>
              <w:rPr>
                <w:sz w:val="22"/>
                <w:szCs w:val="22"/>
              </w:rPr>
            </w:pPr>
            <w:r w:rsidRPr="0079404B">
              <w:rPr>
                <w:sz w:val="22"/>
                <w:szCs w:val="22"/>
              </w:rPr>
              <w:t>[IC del 95 %]</w:t>
            </w:r>
          </w:p>
        </w:tc>
      </w:tr>
      <w:tr w:rsidR="00EC5413" w:rsidRPr="00025C22" w14:paraId="4FF4B6AD" w14:textId="77777777">
        <w:tc>
          <w:tcPr>
            <w:tcW w:w="1860" w:type="dxa"/>
            <w:tcBorders>
              <w:top w:val="single" w:sz="12" w:space="0" w:color="auto"/>
            </w:tcBorders>
            <w:vAlign w:val="center"/>
          </w:tcPr>
          <w:p w14:paraId="4FF4B6A6" w14:textId="77777777" w:rsidR="00EC5413" w:rsidRPr="0079404B" w:rsidRDefault="00EC5413">
            <w:pPr>
              <w:pStyle w:val="Normal10pt0"/>
              <w:keepNext/>
              <w:rPr>
                <w:sz w:val="22"/>
                <w:szCs w:val="22"/>
              </w:rPr>
            </w:pPr>
            <w:r w:rsidRPr="0079404B">
              <w:rPr>
                <w:sz w:val="22"/>
                <w:szCs w:val="22"/>
              </w:rPr>
              <w:t>Inaba clásica</w:t>
            </w:r>
            <w:r w:rsidRPr="0079404B">
              <w:rPr>
                <w:rStyle w:val="Superscript"/>
                <w:sz w:val="22"/>
                <w:szCs w:val="22"/>
              </w:rPr>
              <w:t>d</w:t>
            </w:r>
          </w:p>
        </w:tc>
        <w:tc>
          <w:tcPr>
            <w:tcW w:w="1860" w:type="dxa"/>
            <w:tcBorders>
              <w:top w:val="single" w:sz="12" w:space="0" w:color="auto"/>
            </w:tcBorders>
            <w:vAlign w:val="center"/>
          </w:tcPr>
          <w:p w14:paraId="4FF4B6A7" w14:textId="77777777" w:rsidR="00EC5413" w:rsidRPr="0079404B" w:rsidRDefault="00EC5413">
            <w:pPr>
              <w:pStyle w:val="Normal10pt0"/>
              <w:keepNext/>
              <w:jc w:val="center"/>
              <w:rPr>
                <w:sz w:val="22"/>
                <w:szCs w:val="22"/>
              </w:rPr>
            </w:pPr>
            <w:r w:rsidRPr="0079404B">
              <w:rPr>
                <w:sz w:val="22"/>
                <w:szCs w:val="22"/>
              </w:rPr>
              <w:t>93</w:t>
            </w:r>
          </w:p>
        </w:tc>
        <w:tc>
          <w:tcPr>
            <w:tcW w:w="1861" w:type="dxa"/>
            <w:tcBorders>
              <w:top w:val="single" w:sz="12" w:space="0" w:color="auto"/>
            </w:tcBorders>
            <w:vAlign w:val="center"/>
          </w:tcPr>
          <w:p w14:paraId="4FF4B6A8" w14:textId="77777777" w:rsidR="00EC5413" w:rsidRPr="0079404B" w:rsidRDefault="00EC5413">
            <w:pPr>
              <w:pStyle w:val="Normal10pt0"/>
              <w:keepNext/>
              <w:jc w:val="center"/>
              <w:rPr>
                <w:sz w:val="22"/>
                <w:szCs w:val="22"/>
              </w:rPr>
            </w:pPr>
            <w:r w:rsidRPr="0079404B">
              <w:rPr>
                <w:sz w:val="22"/>
                <w:szCs w:val="22"/>
              </w:rPr>
              <w:t>90,3 %</w:t>
            </w:r>
          </w:p>
          <w:p w14:paraId="4FF4B6A9" w14:textId="77777777" w:rsidR="00EC5413" w:rsidRPr="0079404B" w:rsidRDefault="00EC5413">
            <w:pPr>
              <w:pStyle w:val="Normal10pt0"/>
              <w:keepNext/>
              <w:jc w:val="center"/>
              <w:rPr>
                <w:sz w:val="22"/>
                <w:szCs w:val="22"/>
              </w:rPr>
            </w:pPr>
            <w:r w:rsidRPr="0079404B">
              <w:rPr>
                <w:sz w:val="22"/>
                <w:szCs w:val="22"/>
              </w:rPr>
              <w:t>[82,4 %, 95,5 %]</w:t>
            </w:r>
          </w:p>
        </w:tc>
        <w:tc>
          <w:tcPr>
            <w:tcW w:w="1861" w:type="dxa"/>
            <w:tcBorders>
              <w:top w:val="single" w:sz="12" w:space="0" w:color="auto"/>
            </w:tcBorders>
            <w:vAlign w:val="center"/>
          </w:tcPr>
          <w:p w14:paraId="4FF4B6AA" w14:textId="77777777" w:rsidR="00EC5413" w:rsidRPr="0079404B" w:rsidRDefault="00EC5413">
            <w:pPr>
              <w:pStyle w:val="Normal10pt0"/>
              <w:keepNext/>
              <w:jc w:val="center"/>
              <w:rPr>
                <w:sz w:val="22"/>
                <w:szCs w:val="22"/>
              </w:rPr>
            </w:pPr>
            <w:r w:rsidRPr="0079404B">
              <w:rPr>
                <w:sz w:val="22"/>
                <w:szCs w:val="22"/>
              </w:rPr>
              <w:t>291</w:t>
            </w:r>
          </w:p>
        </w:tc>
        <w:tc>
          <w:tcPr>
            <w:tcW w:w="1861" w:type="dxa"/>
            <w:tcBorders>
              <w:top w:val="single" w:sz="12" w:space="0" w:color="auto"/>
            </w:tcBorders>
            <w:vAlign w:val="center"/>
          </w:tcPr>
          <w:p w14:paraId="4FF4B6AB" w14:textId="77777777" w:rsidR="00EC5413" w:rsidRPr="0079404B" w:rsidRDefault="00EC5413">
            <w:pPr>
              <w:pStyle w:val="Normal10pt0"/>
              <w:keepNext/>
              <w:jc w:val="center"/>
              <w:rPr>
                <w:sz w:val="22"/>
                <w:szCs w:val="22"/>
              </w:rPr>
            </w:pPr>
            <w:r w:rsidRPr="0079404B">
              <w:rPr>
                <w:sz w:val="22"/>
                <w:szCs w:val="22"/>
              </w:rPr>
              <w:t>90,4 %</w:t>
            </w:r>
          </w:p>
          <w:p w14:paraId="4FF4B6AC" w14:textId="77777777" w:rsidR="00EC5413" w:rsidRPr="0079404B" w:rsidRDefault="00EC5413">
            <w:pPr>
              <w:pStyle w:val="Normal10pt0"/>
              <w:keepNext/>
              <w:jc w:val="center"/>
              <w:rPr>
                <w:sz w:val="22"/>
                <w:szCs w:val="22"/>
              </w:rPr>
            </w:pPr>
            <w:r w:rsidRPr="0079404B">
              <w:rPr>
                <w:sz w:val="22"/>
                <w:szCs w:val="22"/>
              </w:rPr>
              <w:t>[86,4 %, 93,5 %]</w:t>
            </w:r>
          </w:p>
        </w:tc>
      </w:tr>
      <w:tr w:rsidR="00EC5413" w:rsidRPr="00025C22" w14:paraId="4FF4B6B5" w14:textId="77777777">
        <w:tc>
          <w:tcPr>
            <w:tcW w:w="1860" w:type="dxa"/>
            <w:vAlign w:val="center"/>
          </w:tcPr>
          <w:p w14:paraId="4FF4B6AE" w14:textId="77777777" w:rsidR="00EC5413" w:rsidRPr="0079404B" w:rsidRDefault="00EC5413">
            <w:pPr>
              <w:pStyle w:val="Normal10pt0"/>
              <w:keepNext/>
              <w:rPr>
                <w:sz w:val="22"/>
                <w:szCs w:val="22"/>
              </w:rPr>
            </w:pPr>
            <w:r w:rsidRPr="0079404B">
              <w:rPr>
                <w:sz w:val="22"/>
                <w:szCs w:val="22"/>
              </w:rPr>
              <w:t>El Tor Inaba</w:t>
            </w:r>
          </w:p>
        </w:tc>
        <w:tc>
          <w:tcPr>
            <w:tcW w:w="1860" w:type="dxa"/>
            <w:vAlign w:val="center"/>
          </w:tcPr>
          <w:p w14:paraId="4FF4B6AF" w14:textId="77777777" w:rsidR="00EC5413" w:rsidRPr="0079404B" w:rsidRDefault="00EC5413">
            <w:pPr>
              <w:pStyle w:val="Normal10pt0"/>
              <w:keepNext/>
              <w:jc w:val="center"/>
              <w:rPr>
                <w:sz w:val="22"/>
                <w:szCs w:val="22"/>
              </w:rPr>
            </w:pPr>
            <w:r w:rsidRPr="0079404B">
              <w:rPr>
                <w:sz w:val="22"/>
                <w:szCs w:val="22"/>
              </w:rPr>
              <w:t>93</w:t>
            </w:r>
          </w:p>
        </w:tc>
        <w:tc>
          <w:tcPr>
            <w:tcW w:w="1861" w:type="dxa"/>
            <w:vAlign w:val="center"/>
          </w:tcPr>
          <w:p w14:paraId="4FF4B6B0" w14:textId="77777777" w:rsidR="00EC5413" w:rsidRPr="0079404B" w:rsidRDefault="00EC5413">
            <w:pPr>
              <w:pStyle w:val="Normal10pt0"/>
              <w:keepNext/>
              <w:jc w:val="center"/>
              <w:rPr>
                <w:sz w:val="22"/>
                <w:szCs w:val="22"/>
              </w:rPr>
            </w:pPr>
            <w:r w:rsidRPr="0079404B">
              <w:rPr>
                <w:sz w:val="22"/>
                <w:szCs w:val="22"/>
              </w:rPr>
              <w:t>91,4 %</w:t>
            </w:r>
          </w:p>
          <w:p w14:paraId="4FF4B6B1" w14:textId="77777777" w:rsidR="00EC5413" w:rsidRPr="0079404B" w:rsidRDefault="00EC5413">
            <w:pPr>
              <w:pStyle w:val="Normal10pt0"/>
              <w:keepNext/>
              <w:jc w:val="center"/>
              <w:rPr>
                <w:sz w:val="22"/>
                <w:szCs w:val="22"/>
              </w:rPr>
            </w:pPr>
            <w:r w:rsidRPr="0079404B">
              <w:rPr>
                <w:sz w:val="22"/>
                <w:szCs w:val="22"/>
              </w:rPr>
              <w:t>[83,8 %, 96,2 %]</w:t>
            </w:r>
          </w:p>
        </w:tc>
        <w:tc>
          <w:tcPr>
            <w:tcW w:w="1861" w:type="dxa"/>
            <w:vAlign w:val="center"/>
          </w:tcPr>
          <w:p w14:paraId="4FF4B6B2" w14:textId="77777777" w:rsidR="00EC5413" w:rsidRPr="0079404B" w:rsidRDefault="00EC5413">
            <w:pPr>
              <w:pStyle w:val="Normal10pt0"/>
              <w:keepNext/>
              <w:jc w:val="center"/>
              <w:rPr>
                <w:sz w:val="22"/>
                <w:szCs w:val="22"/>
              </w:rPr>
            </w:pPr>
            <w:r w:rsidRPr="0079404B">
              <w:rPr>
                <w:sz w:val="22"/>
                <w:szCs w:val="22"/>
              </w:rPr>
              <w:t>290</w:t>
            </w:r>
          </w:p>
        </w:tc>
        <w:tc>
          <w:tcPr>
            <w:tcW w:w="1861" w:type="dxa"/>
            <w:vAlign w:val="center"/>
          </w:tcPr>
          <w:p w14:paraId="4FF4B6B3" w14:textId="77777777" w:rsidR="00EC5413" w:rsidRPr="0079404B" w:rsidRDefault="00EC5413">
            <w:pPr>
              <w:pStyle w:val="Normal10pt0"/>
              <w:keepNext/>
              <w:jc w:val="center"/>
              <w:rPr>
                <w:sz w:val="22"/>
                <w:szCs w:val="22"/>
              </w:rPr>
            </w:pPr>
            <w:r w:rsidRPr="0079404B">
              <w:rPr>
                <w:sz w:val="22"/>
                <w:szCs w:val="22"/>
              </w:rPr>
              <w:t>91,0 %</w:t>
            </w:r>
          </w:p>
          <w:p w14:paraId="4FF4B6B4" w14:textId="77777777" w:rsidR="00EC5413" w:rsidRPr="0079404B" w:rsidRDefault="00EC5413">
            <w:pPr>
              <w:pStyle w:val="Normal10pt0"/>
              <w:keepNext/>
              <w:jc w:val="center"/>
              <w:rPr>
                <w:sz w:val="22"/>
                <w:szCs w:val="22"/>
              </w:rPr>
            </w:pPr>
            <w:r w:rsidRPr="0079404B">
              <w:rPr>
                <w:sz w:val="22"/>
                <w:szCs w:val="22"/>
              </w:rPr>
              <w:t>[87,1 %, 94,1 %]</w:t>
            </w:r>
          </w:p>
        </w:tc>
      </w:tr>
      <w:tr w:rsidR="00EC5413" w:rsidRPr="00025C22" w14:paraId="4FF4B6BD" w14:textId="77777777">
        <w:tc>
          <w:tcPr>
            <w:tcW w:w="1860" w:type="dxa"/>
            <w:vAlign w:val="center"/>
          </w:tcPr>
          <w:p w14:paraId="4FF4B6B6" w14:textId="77777777" w:rsidR="00EC5413" w:rsidRPr="0079404B" w:rsidRDefault="00EC5413">
            <w:pPr>
              <w:pStyle w:val="Normal10pt0"/>
              <w:keepNext/>
              <w:rPr>
                <w:sz w:val="22"/>
                <w:szCs w:val="22"/>
              </w:rPr>
            </w:pPr>
            <w:r w:rsidRPr="0079404B">
              <w:rPr>
                <w:sz w:val="22"/>
                <w:szCs w:val="22"/>
              </w:rPr>
              <w:t>Ogawa clásica</w:t>
            </w:r>
          </w:p>
        </w:tc>
        <w:tc>
          <w:tcPr>
            <w:tcW w:w="1860" w:type="dxa"/>
            <w:vAlign w:val="center"/>
          </w:tcPr>
          <w:p w14:paraId="4FF4B6B7" w14:textId="77777777" w:rsidR="00EC5413" w:rsidRPr="0079404B" w:rsidRDefault="00EC5413">
            <w:pPr>
              <w:pStyle w:val="Normal10pt0"/>
              <w:keepNext/>
              <w:jc w:val="center"/>
              <w:rPr>
                <w:sz w:val="22"/>
                <w:szCs w:val="22"/>
              </w:rPr>
            </w:pPr>
            <w:r w:rsidRPr="0079404B">
              <w:rPr>
                <w:sz w:val="22"/>
                <w:szCs w:val="22"/>
              </w:rPr>
              <w:t>93</w:t>
            </w:r>
          </w:p>
        </w:tc>
        <w:tc>
          <w:tcPr>
            <w:tcW w:w="1861" w:type="dxa"/>
            <w:vAlign w:val="center"/>
          </w:tcPr>
          <w:p w14:paraId="4FF4B6B8" w14:textId="77777777" w:rsidR="00EC5413" w:rsidRPr="0079404B" w:rsidRDefault="00EC5413">
            <w:pPr>
              <w:pStyle w:val="Normal10pt0"/>
              <w:keepNext/>
              <w:jc w:val="center"/>
              <w:rPr>
                <w:sz w:val="22"/>
                <w:szCs w:val="22"/>
              </w:rPr>
            </w:pPr>
            <w:r w:rsidRPr="0079404B">
              <w:rPr>
                <w:sz w:val="22"/>
                <w:szCs w:val="22"/>
              </w:rPr>
              <w:t>87,1 %</w:t>
            </w:r>
          </w:p>
          <w:p w14:paraId="4FF4B6B9" w14:textId="77777777" w:rsidR="00EC5413" w:rsidRPr="0079404B" w:rsidRDefault="00EC5413">
            <w:pPr>
              <w:pStyle w:val="Normal10pt0"/>
              <w:keepNext/>
              <w:jc w:val="center"/>
              <w:rPr>
                <w:sz w:val="22"/>
                <w:szCs w:val="22"/>
              </w:rPr>
            </w:pPr>
            <w:r w:rsidRPr="0079404B">
              <w:rPr>
                <w:sz w:val="22"/>
                <w:szCs w:val="22"/>
              </w:rPr>
              <w:t>[78,5 %, 93,2 %]</w:t>
            </w:r>
          </w:p>
        </w:tc>
        <w:tc>
          <w:tcPr>
            <w:tcW w:w="1861" w:type="dxa"/>
            <w:vAlign w:val="center"/>
          </w:tcPr>
          <w:p w14:paraId="4FF4B6BA" w14:textId="77777777" w:rsidR="00EC5413" w:rsidRPr="0079404B" w:rsidRDefault="00EC5413">
            <w:pPr>
              <w:pStyle w:val="Normal10pt0"/>
              <w:keepNext/>
              <w:jc w:val="center"/>
              <w:rPr>
                <w:sz w:val="22"/>
                <w:szCs w:val="22"/>
              </w:rPr>
            </w:pPr>
            <w:r w:rsidRPr="0079404B">
              <w:rPr>
                <w:sz w:val="22"/>
                <w:szCs w:val="22"/>
              </w:rPr>
              <w:t>291</w:t>
            </w:r>
          </w:p>
        </w:tc>
        <w:tc>
          <w:tcPr>
            <w:tcW w:w="1861" w:type="dxa"/>
            <w:vAlign w:val="center"/>
          </w:tcPr>
          <w:p w14:paraId="4FF4B6BB" w14:textId="77777777" w:rsidR="00EC5413" w:rsidRPr="0079404B" w:rsidRDefault="00EC5413">
            <w:pPr>
              <w:pStyle w:val="Normal10pt0"/>
              <w:keepNext/>
              <w:jc w:val="center"/>
              <w:rPr>
                <w:sz w:val="22"/>
                <w:szCs w:val="22"/>
              </w:rPr>
            </w:pPr>
            <w:r w:rsidRPr="0079404B">
              <w:rPr>
                <w:sz w:val="22"/>
                <w:szCs w:val="22"/>
              </w:rPr>
              <w:t>73,2 %</w:t>
            </w:r>
          </w:p>
          <w:p w14:paraId="4FF4B6BC" w14:textId="77777777" w:rsidR="00EC5413" w:rsidRPr="0079404B" w:rsidRDefault="00EC5413">
            <w:pPr>
              <w:pStyle w:val="Normal10pt0"/>
              <w:keepNext/>
              <w:jc w:val="center"/>
              <w:rPr>
                <w:sz w:val="22"/>
                <w:szCs w:val="22"/>
              </w:rPr>
            </w:pPr>
            <w:r w:rsidRPr="0079404B">
              <w:rPr>
                <w:sz w:val="22"/>
                <w:szCs w:val="22"/>
              </w:rPr>
              <w:t>[67,7 %, 78,2 %]</w:t>
            </w:r>
          </w:p>
        </w:tc>
      </w:tr>
      <w:tr w:rsidR="00EC5413" w:rsidRPr="00025C22" w14:paraId="4FF4B6C5" w14:textId="77777777">
        <w:tc>
          <w:tcPr>
            <w:tcW w:w="1860" w:type="dxa"/>
            <w:tcBorders>
              <w:bottom w:val="single" w:sz="12" w:space="0" w:color="auto"/>
            </w:tcBorders>
            <w:vAlign w:val="center"/>
          </w:tcPr>
          <w:p w14:paraId="4FF4B6BE" w14:textId="77777777" w:rsidR="00EC5413" w:rsidRPr="0079404B" w:rsidRDefault="00EC5413">
            <w:pPr>
              <w:pStyle w:val="Normal10pt0"/>
              <w:keepNext/>
              <w:rPr>
                <w:sz w:val="22"/>
                <w:szCs w:val="22"/>
              </w:rPr>
            </w:pPr>
            <w:r w:rsidRPr="0079404B">
              <w:rPr>
                <w:sz w:val="22"/>
                <w:szCs w:val="22"/>
              </w:rPr>
              <w:t>El Tor Ogawa</w:t>
            </w:r>
          </w:p>
        </w:tc>
        <w:tc>
          <w:tcPr>
            <w:tcW w:w="1860" w:type="dxa"/>
            <w:tcBorders>
              <w:bottom w:val="single" w:sz="12" w:space="0" w:color="auto"/>
            </w:tcBorders>
            <w:vAlign w:val="center"/>
          </w:tcPr>
          <w:p w14:paraId="4FF4B6BF" w14:textId="77777777" w:rsidR="00EC5413" w:rsidRPr="0079404B" w:rsidRDefault="00EC5413">
            <w:pPr>
              <w:pStyle w:val="Normal10pt0"/>
              <w:keepNext/>
              <w:jc w:val="center"/>
              <w:rPr>
                <w:sz w:val="22"/>
                <w:szCs w:val="22"/>
              </w:rPr>
            </w:pPr>
            <w:r w:rsidRPr="0079404B">
              <w:rPr>
                <w:sz w:val="22"/>
                <w:szCs w:val="22"/>
              </w:rPr>
              <w:t>93</w:t>
            </w:r>
          </w:p>
        </w:tc>
        <w:tc>
          <w:tcPr>
            <w:tcW w:w="1861" w:type="dxa"/>
            <w:tcBorders>
              <w:bottom w:val="single" w:sz="12" w:space="0" w:color="auto"/>
            </w:tcBorders>
            <w:vAlign w:val="center"/>
          </w:tcPr>
          <w:p w14:paraId="4FF4B6C0" w14:textId="77777777" w:rsidR="00EC5413" w:rsidRPr="0079404B" w:rsidRDefault="00EC5413">
            <w:pPr>
              <w:pStyle w:val="Normal10pt0"/>
              <w:keepNext/>
              <w:jc w:val="center"/>
              <w:rPr>
                <w:sz w:val="22"/>
                <w:szCs w:val="22"/>
              </w:rPr>
            </w:pPr>
            <w:r w:rsidRPr="0079404B">
              <w:rPr>
                <w:sz w:val="22"/>
                <w:szCs w:val="22"/>
              </w:rPr>
              <w:t>89,2 %</w:t>
            </w:r>
          </w:p>
          <w:p w14:paraId="4FF4B6C1" w14:textId="77777777" w:rsidR="00EC5413" w:rsidRPr="0079404B" w:rsidRDefault="00EC5413">
            <w:pPr>
              <w:pStyle w:val="Normal10pt0"/>
              <w:keepNext/>
              <w:jc w:val="center"/>
              <w:rPr>
                <w:sz w:val="22"/>
                <w:szCs w:val="22"/>
              </w:rPr>
            </w:pPr>
            <w:r w:rsidRPr="0079404B">
              <w:rPr>
                <w:sz w:val="22"/>
                <w:szCs w:val="22"/>
              </w:rPr>
              <w:t>[81,1 %, 94,7 %]</w:t>
            </w:r>
          </w:p>
        </w:tc>
        <w:tc>
          <w:tcPr>
            <w:tcW w:w="1861" w:type="dxa"/>
            <w:tcBorders>
              <w:bottom w:val="single" w:sz="12" w:space="0" w:color="auto"/>
            </w:tcBorders>
            <w:vAlign w:val="center"/>
          </w:tcPr>
          <w:p w14:paraId="4FF4B6C2" w14:textId="77777777" w:rsidR="00EC5413" w:rsidRPr="0079404B" w:rsidRDefault="00EC5413">
            <w:pPr>
              <w:pStyle w:val="Normal10pt0"/>
              <w:keepNext/>
              <w:jc w:val="center"/>
              <w:rPr>
                <w:sz w:val="22"/>
                <w:szCs w:val="22"/>
              </w:rPr>
            </w:pPr>
            <w:r w:rsidRPr="0079404B">
              <w:rPr>
                <w:sz w:val="22"/>
                <w:szCs w:val="22"/>
              </w:rPr>
              <w:t>290</w:t>
            </w:r>
          </w:p>
        </w:tc>
        <w:tc>
          <w:tcPr>
            <w:tcW w:w="1861" w:type="dxa"/>
            <w:tcBorders>
              <w:bottom w:val="single" w:sz="12" w:space="0" w:color="auto"/>
            </w:tcBorders>
            <w:vAlign w:val="center"/>
          </w:tcPr>
          <w:p w14:paraId="4FF4B6C3" w14:textId="77777777" w:rsidR="00EC5413" w:rsidRPr="0079404B" w:rsidRDefault="00EC5413">
            <w:pPr>
              <w:pStyle w:val="Normal10pt0"/>
              <w:keepNext/>
              <w:jc w:val="center"/>
              <w:rPr>
                <w:sz w:val="22"/>
                <w:szCs w:val="22"/>
              </w:rPr>
            </w:pPr>
            <w:r w:rsidRPr="0079404B">
              <w:rPr>
                <w:sz w:val="22"/>
                <w:szCs w:val="22"/>
              </w:rPr>
              <w:t>71,4 %</w:t>
            </w:r>
          </w:p>
          <w:p w14:paraId="4FF4B6C4" w14:textId="77777777" w:rsidR="00EC5413" w:rsidRPr="0079404B" w:rsidRDefault="00EC5413">
            <w:pPr>
              <w:pStyle w:val="Normal10pt0"/>
              <w:keepNext/>
              <w:jc w:val="center"/>
              <w:rPr>
                <w:sz w:val="22"/>
                <w:szCs w:val="22"/>
              </w:rPr>
            </w:pPr>
            <w:r w:rsidRPr="0079404B">
              <w:rPr>
                <w:sz w:val="22"/>
                <w:szCs w:val="22"/>
              </w:rPr>
              <w:t>[65,8 %, 76,5 %]</w:t>
            </w:r>
          </w:p>
        </w:tc>
      </w:tr>
    </w:tbl>
    <w:p w14:paraId="4FF4B6C6" w14:textId="2C3BB596" w:rsidR="00EC5413" w:rsidRDefault="00EC5413" w:rsidP="00E61964">
      <w:pPr>
        <w:pStyle w:val="Normal10pt0"/>
        <w:keepNext/>
        <w:ind w:left="284" w:hanging="284"/>
      </w:pPr>
      <w:r>
        <w:rPr>
          <w:rStyle w:val="Superscript"/>
        </w:rPr>
        <w:t>a</w:t>
      </w:r>
      <w:r>
        <w:tab/>
        <w:t>N</w:t>
      </w:r>
      <w:r w:rsidR="00D93C93">
        <w:t xml:space="preserve"> </w:t>
      </w:r>
      <w:r>
        <w:t>=</w:t>
      </w:r>
      <w:r w:rsidR="00D93C93">
        <w:t xml:space="preserve"> </w:t>
      </w:r>
      <w:r>
        <w:t>número de sujetos con medidas basales y 10 días después de la vacunación. A un sujeto del estudio de adultos jóvenes no se le realizó la medición del día 11 y se excluyó del análisis.</w:t>
      </w:r>
    </w:p>
    <w:p w14:paraId="4FF4B6C7" w14:textId="77777777" w:rsidR="00EC5413" w:rsidRDefault="00EC5413" w:rsidP="00CB06CB">
      <w:pPr>
        <w:pStyle w:val="Normal10pt0"/>
        <w:keepNext/>
        <w:ind w:left="284" w:hanging="284"/>
      </w:pPr>
      <w:r>
        <w:rPr>
          <w:rStyle w:val="Superscript"/>
        </w:rPr>
        <w:t>b</w:t>
      </w:r>
      <w:r>
        <w:tab/>
        <w:t>La seroconversión se define como el porcentaje de pacientes que alcanzaron como mínimo un aumento de cuatro veces los titulos de anticuerpos vibriocidas 10 días después de la vacunación en comparación con los titulos basales.</w:t>
      </w:r>
    </w:p>
    <w:p w14:paraId="4FF4B6C8" w14:textId="0FF78EE8" w:rsidR="00EC5413" w:rsidRDefault="00EC5413" w:rsidP="00CB06CB">
      <w:pPr>
        <w:pStyle w:val="Normal10pt0"/>
        <w:keepNext/>
        <w:ind w:left="284" w:hanging="284"/>
      </w:pPr>
      <w:r>
        <w:rPr>
          <w:rStyle w:val="Superscript"/>
        </w:rPr>
        <w:t>c</w:t>
      </w:r>
      <w:r>
        <w:tab/>
        <w:t>IC</w:t>
      </w:r>
      <w:r w:rsidR="00D93C93">
        <w:t xml:space="preserve"> </w:t>
      </w:r>
      <w:r>
        <w:t>=</w:t>
      </w:r>
      <w:r w:rsidR="00D93C93">
        <w:t xml:space="preserve"> </w:t>
      </w:r>
      <w:r>
        <w:t>intervalo de confianza.</w:t>
      </w:r>
    </w:p>
    <w:p w14:paraId="4FF4B6C9" w14:textId="7BECFF0F" w:rsidR="00EC5413" w:rsidRDefault="00EC5413" w:rsidP="00CB06CB">
      <w:pPr>
        <w:pStyle w:val="Normal10pt0"/>
        <w:ind w:left="284" w:hanging="284"/>
      </w:pPr>
      <w:r>
        <w:rPr>
          <w:rStyle w:val="Superscript"/>
        </w:rPr>
        <w:t>d</w:t>
      </w:r>
      <w:r>
        <w:tab/>
        <w:t xml:space="preserve">Vaxchora contiene la cepa Inaba clásica del serogrupo O1 de </w:t>
      </w:r>
      <w:r>
        <w:rPr>
          <w:rStyle w:val="Emphasis"/>
        </w:rPr>
        <w:t>Vibrio</w:t>
      </w:r>
      <w:r>
        <w:t xml:space="preserve"> </w:t>
      </w:r>
      <w:r>
        <w:rPr>
          <w:rStyle w:val="Emphasis"/>
        </w:rPr>
        <w:t>cholerae</w:t>
      </w:r>
      <w:r>
        <w:t>.</w:t>
      </w:r>
    </w:p>
    <w:p w14:paraId="4FF4B6CA" w14:textId="77777777" w:rsidR="00EC5413" w:rsidRDefault="00EC5413"/>
    <w:p w14:paraId="4FF4B6CB" w14:textId="77777777" w:rsidR="00EC5413" w:rsidRDefault="00EC5413"/>
    <w:p w14:paraId="4FF4B6CC" w14:textId="77777777" w:rsidR="00EC5413" w:rsidRDefault="00EC5413">
      <w:pPr>
        <w:pStyle w:val="HeadingUnderlined"/>
      </w:pPr>
      <w:r>
        <w:t>Población pediátrica</w:t>
      </w:r>
    </w:p>
    <w:p w14:paraId="4FF4B6CD" w14:textId="3FCC00FC" w:rsidR="00EC5413" w:rsidRDefault="00EC5413" w:rsidP="001E0AAA">
      <w:pPr>
        <w:tabs>
          <w:tab w:val="left" w:pos="6660"/>
        </w:tabs>
      </w:pPr>
      <w:r>
        <w:t>Se llevó a cabo un ensayo de inmunogenicidad en 550 niños sanos de 2 a &lt; 18 años (edad media 9,0; rango de edad 2</w:t>
      </w:r>
      <w:r>
        <w:noBreakHyphen/>
        <w:t>17 años; 52,0 % niños; 48,0 % niñas) (estudio 5). En la población evaluable de inmunogenicidad (n</w:t>
      </w:r>
      <w:r w:rsidR="00DE6906">
        <w:t> </w:t>
      </w:r>
      <w:r>
        <w:t>=</w:t>
      </w:r>
      <w:r w:rsidR="00DE6906">
        <w:t> </w:t>
      </w:r>
      <w:r>
        <w:t>466), la tasa de niños a niñas era de 52,8 % de niños y 47,2 % de niñas. Los resultados de seroconversión de los receptores de la vacuna y del placebo, así como los resultados de la inmunogenicidad puente, se muestran en la Tabla 4.</w:t>
      </w:r>
    </w:p>
    <w:p w14:paraId="4FF4B6CE" w14:textId="77777777" w:rsidR="00EC5413" w:rsidRDefault="00EC5413" w:rsidP="00D73B55"/>
    <w:p w14:paraId="4FF4B6CF" w14:textId="1186597C" w:rsidR="00EC5413" w:rsidRDefault="00EC5413" w:rsidP="00D73B55">
      <w:r>
        <w:t>Se dispone de información sobre inmunogenicidad a largo plazo a partir de un subconjunto de niños de entre 12 y 18 años de edad. La tasa de seroconversión osciló desde el 100 % a los 28 días posteriores a la vacunación hasta 64,5 % a los 729 días posteriores a la vacunación. Los resultados de seroconversión a lo largo del tiempo se muestran en la Tabla 5.</w:t>
      </w:r>
    </w:p>
    <w:p w14:paraId="4FF4B6D0" w14:textId="77777777" w:rsidR="00EC5413" w:rsidRDefault="00EC5413"/>
    <w:p w14:paraId="4FF4B6D1" w14:textId="30666E41" w:rsidR="00EC5413" w:rsidRDefault="00EC5413">
      <w:pPr>
        <w:pStyle w:val="TableTitle"/>
        <w:ind w:left="851" w:hanging="851"/>
      </w:pPr>
      <w:r>
        <w:lastRenderedPageBreak/>
        <w:t xml:space="preserve">Tabla 4: Seroconversión de anticuerpos vibriocidas contra la cepa de la vacuna </w:t>
      </w:r>
      <w:r>
        <w:rPr>
          <w:rStyle w:val="Emphasis"/>
        </w:rPr>
        <w:t>Vibrio</w:t>
      </w:r>
      <w:r>
        <w:t xml:space="preserve"> </w:t>
      </w:r>
      <w:r>
        <w:rPr>
          <w:rStyle w:val="Emphasis"/>
        </w:rPr>
        <w:t>cholerae</w:t>
      </w:r>
      <w:r>
        <w:t xml:space="preserve"> del serotipo Inaba clásica 10 días después de la vacunación en niños [Población evaluable de inmunogenicidad]</w:t>
      </w:r>
    </w:p>
    <w:p w14:paraId="4FF4B6D2" w14:textId="77777777" w:rsidR="00EC5413" w:rsidRDefault="00EC5413">
      <w:pPr>
        <w:keepNext/>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1618"/>
        <w:gridCol w:w="635"/>
        <w:gridCol w:w="1701"/>
        <w:gridCol w:w="850"/>
        <w:gridCol w:w="1701"/>
        <w:gridCol w:w="2550"/>
      </w:tblGrid>
      <w:tr w:rsidR="00EC5413" w:rsidRPr="00025C22" w14:paraId="4FF4B6D7" w14:textId="77777777">
        <w:tc>
          <w:tcPr>
            <w:tcW w:w="1618" w:type="dxa"/>
            <w:tcBorders>
              <w:top w:val="single" w:sz="12" w:space="0" w:color="auto"/>
              <w:left w:val="single" w:sz="12" w:space="0" w:color="auto"/>
              <w:bottom w:val="nil"/>
              <w:right w:val="nil"/>
            </w:tcBorders>
            <w:vAlign w:val="bottom"/>
          </w:tcPr>
          <w:p w14:paraId="4FF4B6D3" w14:textId="77777777" w:rsidR="00EC5413" w:rsidRPr="00025C22" w:rsidRDefault="00EC5413">
            <w:pPr>
              <w:pStyle w:val="Normal10pt0"/>
              <w:keepNext/>
              <w:jc w:val="center"/>
              <w:rPr>
                <w:rStyle w:val="Strong"/>
                <w:sz w:val="22"/>
                <w:szCs w:val="22"/>
              </w:rPr>
            </w:pPr>
            <w:r w:rsidRPr="0079404B">
              <w:rPr>
                <w:rStyle w:val="Strong"/>
                <w:sz w:val="22"/>
                <w:szCs w:val="22"/>
              </w:rPr>
              <w:t>Estudio</w:t>
            </w:r>
          </w:p>
        </w:tc>
        <w:tc>
          <w:tcPr>
            <w:tcW w:w="2336" w:type="dxa"/>
            <w:gridSpan w:val="2"/>
            <w:tcBorders>
              <w:top w:val="single" w:sz="12" w:space="0" w:color="auto"/>
              <w:left w:val="nil"/>
              <w:bottom w:val="nil"/>
              <w:right w:val="nil"/>
            </w:tcBorders>
            <w:vAlign w:val="bottom"/>
          </w:tcPr>
          <w:p w14:paraId="4FF4B6D4" w14:textId="77777777" w:rsidR="00EC5413" w:rsidRPr="0079404B" w:rsidRDefault="00EC5413">
            <w:pPr>
              <w:pStyle w:val="Normal10pt0"/>
              <w:keepNext/>
              <w:jc w:val="center"/>
              <w:rPr>
                <w:rStyle w:val="Strong"/>
                <w:sz w:val="22"/>
                <w:szCs w:val="22"/>
              </w:rPr>
            </w:pPr>
            <w:r w:rsidRPr="0079404B">
              <w:rPr>
                <w:rStyle w:val="Strong"/>
                <w:sz w:val="22"/>
                <w:szCs w:val="22"/>
              </w:rPr>
              <w:t>Receptores de Vaxchora</w:t>
            </w:r>
          </w:p>
        </w:tc>
        <w:tc>
          <w:tcPr>
            <w:tcW w:w="2552" w:type="dxa"/>
            <w:gridSpan w:val="2"/>
            <w:tcBorders>
              <w:top w:val="single" w:sz="12" w:space="0" w:color="auto"/>
              <w:left w:val="nil"/>
              <w:bottom w:val="nil"/>
              <w:right w:val="nil"/>
            </w:tcBorders>
            <w:vAlign w:val="bottom"/>
          </w:tcPr>
          <w:p w14:paraId="4FF4B6D5" w14:textId="77777777" w:rsidR="00EC5413" w:rsidRPr="0079404B" w:rsidRDefault="00EC5413">
            <w:pPr>
              <w:pStyle w:val="Normal10pt0"/>
              <w:keepNext/>
              <w:jc w:val="center"/>
              <w:rPr>
                <w:rStyle w:val="Strong"/>
                <w:sz w:val="22"/>
                <w:szCs w:val="22"/>
              </w:rPr>
            </w:pPr>
            <w:r w:rsidRPr="0079404B">
              <w:rPr>
                <w:rStyle w:val="Strong"/>
                <w:sz w:val="22"/>
                <w:szCs w:val="22"/>
              </w:rPr>
              <w:t>Receptores de placebo</w:t>
            </w:r>
          </w:p>
        </w:tc>
        <w:tc>
          <w:tcPr>
            <w:tcW w:w="2551" w:type="dxa"/>
            <w:tcBorders>
              <w:top w:val="single" w:sz="12" w:space="0" w:color="auto"/>
              <w:left w:val="nil"/>
              <w:bottom w:val="nil"/>
              <w:right w:val="single" w:sz="12" w:space="0" w:color="auto"/>
            </w:tcBorders>
            <w:vAlign w:val="bottom"/>
          </w:tcPr>
          <w:p w14:paraId="4FF4B6D6" w14:textId="7C00E819" w:rsidR="00EC5413" w:rsidRPr="0079404B" w:rsidRDefault="00EC5413">
            <w:pPr>
              <w:pStyle w:val="Normal10pt0"/>
              <w:keepNext/>
              <w:jc w:val="center"/>
              <w:rPr>
                <w:rStyle w:val="Strong"/>
                <w:sz w:val="22"/>
                <w:szCs w:val="22"/>
              </w:rPr>
            </w:pPr>
            <w:r w:rsidRPr="0079404B">
              <w:rPr>
                <w:rStyle w:val="Strong"/>
                <w:sz w:val="22"/>
                <w:szCs w:val="22"/>
              </w:rPr>
              <w:t>Inmunogenicidad puente: Diferencia entre la tasa de seroconversión en comparación con el estudio 3 en pacientes de 18 a 45 años</w:t>
            </w:r>
          </w:p>
        </w:tc>
      </w:tr>
      <w:tr w:rsidR="00EC5413" w:rsidRPr="00025C22" w14:paraId="4FF4B6E3" w14:textId="77777777">
        <w:tc>
          <w:tcPr>
            <w:tcW w:w="1618" w:type="dxa"/>
            <w:tcBorders>
              <w:top w:val="nil"/>
              <w:left w:val="single" w:sz="12" w:space="0" w:color="auto"/>
              <w:bottom w:val="single" w:sz="12" w:space="0" w:color="auto"/>
              <w:right w:val="nil"/>
            </w:tcBorders>
            <w:vAlign w:val="bottom"/>
          </w:tcPr>
          <w:p w14:paraId="4FF4B6D8" w14:textId="77777777" w:rsidR="00EC5413" w:rsidRPr="0079404B" w:rsidRDefault="00EC5413">
            <w:pPr>
              <w:pStyle w:val="Normal10pt0"/>
              <w:keepNext/>
              <w:jc w:val="center"/>
              <w:rPr>
                <w:sz w:val="22"/>
                <w:szCs w:val="22"/>
              </w:rPr>
            </w:pPr>
            <w:r w:rsidRPr="0079404B">
              <w:rPr>
                <w:sz w:val="22"/>
                <w:szCs w:val="22"/>
              </w:rPr>
              <w:t>(edad en años)</w:t>
            </w:r>
          </w:p>
        </w:tc>
        <w:tc>
          <w:tcPr>
            <w:tcW w:w="635" w:type="dxa"/>
            <w:tcBorders>
              <w:top w:val="nil"/>
              <w:left w:val="nil"/>
              <w:bottom w:val="single" w:sz="12" w:space="0" w:color="auto"/>
              <w:right w:val="nil"/>
            </w:tcBorders>
            <w:vAlign w:val="bottom"/>
          </w:tcPr>
          <w:p w14:paraId="4FF4B6D9" w14:textId="77777777" w:rsidR="00EC5413" w:rsidRPr="0079404B" w:rsidRDefault="00EC5413">
            <w:pPr>
              <w:pStyle w:val="Normal10pt0"/>
              <w:keepNext/>
              <w:jc w:val="center"/>
              <w:rPr>
                <w:sz w:val="22"/>
                <w:szCs w:val="22"/>
              </w:rPr>
            </w:pPr>
            <w:r w:rsidRPr="0079404B">
              <w:rPr>
                <w:sz w:val="22"/>
                <w:szCs w:val="22"/>
              </w:rPr>
              <w:t>N</w:t>
            </w:r>
            <w:r w:rsidRPr="0079404B">
              <w:rPr>
                <w:rStyle w:val="Superscript"/>
                <w:sz w:val="22"/>
                <w:szCs w:val="22"/>
              </w:rPr>
              <w:t>b</w:t>
            </w:r>
          </w:p>
        </w:tc>
        <w:tc>
          <w:tcPr>
            <w:tcW w:w="1701" w:type="dxa"/>
            <w:tcBorders>
              <w:top w:val="nil"/>
              <w:left w:val="nil"/>
              <w:bottom w:val="single" w:sz="12" w:space="0" w:color="auto"/>
              <w:right w:val="nil"/>
            </w:tcBorders>
            <w:vAlign w:val="bottom"/>
          </w:tcPr>
          <w:p w14:paraId="4FF4B6DA" w14:textId="77777777" w:rsidR="00EC5413" w:rsidRPr="0079404B" w:rsidRDefault="00EC5413">
            <w:pPr>
              <w:pStyle w:val="Normal10pt0"/>
              <w:keepNext/>
              <w:jc w:val="center"/>
              <w:rPr>
                <w:sz w:val="22"/>
                <w:szCs w:val="22"/>
              </w:rPr>
            </w:pPr>
            <w:r w:rsidRPr="0079404B">
              <w:rPr>
                <w:sz w:val="22"/>
                <w:szCs w:val="22"/>
              </w:rPr>
              <w:t>Seroconversión</w:t>
            </w:r>
            <w:r w:rsidRPr="0079404B">
              <w:rPr>
                <w:rStyle w:val="Superscript"/>
                <w:sz w:val="22"/>
                <w:szCs w:val="22"/>
              </w:rPr>
              <w:t>a</w:t>
            </w:r>
          </w:p>
          <w:p w14:paraId="4FF4B6DB" w14:textId="77777777" w:rsidR="00EC5413" w:rsidRPr="0079404B" w:rsidRDefault="00EC5413">
            <w:pPr>
              <w:pStyle w:val="Normal10pt0"/>
              <w:keepNext/>
              <w:jc w:val="center"/>
              <w:rPr>
                <w:sz w:val="22"/>
                <w:szCs w:val="22"/>
              </w:rPr>
            </w:pPr>
            <w:r w:rsidRPr="0079404B">
              <w:rPr>
                <w:sz w:val="22"/>
                <w:szCs w:val="22"/>
              </w:rPr>
              <w:t>%</w:t>
            </w:r>
          </w:p>
          <w:p w14:paraId="4FF4B6DC" w14:textId="77777777" w:rsidR="00EC5413" w:rsidRPr="0079404B" w:rsidRDefault="00EC5413">
            <w:pPr>
              <w:pStyle w:val="Normal10pt0"/>
              <w:keepNext/>
              <w:jc w:val="center"/>
              <w:rPr>
                <w:sz w:val="22"/>
                <w:szCs w:val="22"/>
              </w:rPr>
            </w:pPr>
            <w:r w:rsidRPr="0079404B">
              <w:rPr>
                <w:sz w:val="22"/>
                <w:szCs w:val="22"/>
              </w:rPr>
              <w:t>[IC del 98,3 %]</w:t>
            </w:r>
          </w:p>
        </w:tc>
        <w:tc>
          <w:tcPr>
            <w:tcW w:w="851" w:type="dxa"/>
            <w:tcBorders>
              <w:top w:val="nil"/>
              <w:left w:val="nil"/>
              <w:bottom w:val="single" w:sz="12" w:space="0" w:color="auto"/>
              <w:right w:val="nil"/>
            </w:tcBorders>
            <w:vAlign w:val="bottom"/>
          </w:tcPr>
          <w:p w14:paraId="4FF4B6DD" w14:textId="77777777" w:rsidR="00EC5413" w:rsidRPr="0079404B" w:rsidRDefault="00EC5413">
            <w:pPr>
              <w:pStyle w:val="Normal10pt0"/>
              <w:keepNext/>
              <w:jc w:val="center"/>
              <w:rPr>
                <w:sz w:val="22"/>
                <w:szCs w:val="22"/>
              </w:rPr>
            </w:pPr>
            <w:r w:rsidRPr="0079404B">
              <w:rPr>
                <w:sz w:val="22"/>
                <w:szCs w:val="22"/>
              </w:rPr>
              <w:t>N</w:t>
            </w:r>
            <w:r w:rsidRPr="0079404B">
              <w:rPr>
                <w:rStyle w:val="Superscript"/>
                <w:sz w:val="22"/>
                <w:szCs w:val="22"/>
              </w:rPr>
              <w:t>b</w:t>
            </w:r>
          </w:p>
        </w:tc>
        <w:tc>
          <w:tcPr>
            <w:tcW w:w="1701" w:type="dxa"/>
            <w:tcBorders>
              <w:top w:val="nil"/>
              <w:left w:val="nil"/>
              <w:bottom w:val="single" w:sz="12" w:space="0" w:color="auto"/>
              <w:right w:val="nil"/>
            </w:tcBorders>
            <w:vAlign w:val="bottom"/>
          </w:tcPr>
          <w:p w14:paraId="4FF4B6DE" w14:textId="77777777" w:rsidR="00EC5413" w:rsidRPr="0079404B" w:rsidRDefault="00EC5413">
            <w:pPr>
              <w:pStyle w:val="Normal10pt0"/>
              <w:keepNext/>
              <w:jc w:val="center"/>
              <w:rPr>
                <w:sz w:val="22"/>
                <w:szCs w:val="22"/>
              </w:rPr>
            </w:pPr>
            <w:r w:rsidRPr="0079404B">
              <w:rPr>
                <w:sz w:val="22"/>
                <w:szCs w:val="22"/>
              </w:rPr>
              <w:t>Seroconversión</w:t>
            </w:r>
            <w:r w:rsidRPr="0079404B">
              <w:rPr>
                <w:rStyle w:val="Superscript"/>
                <w:sz w:val="22"/>
                <w:szCs w:val="22"/>
              </w:rPr>
              <w:t>a</w:t>
            </w:r>
          </w:p>
          <w:p w14:paraId="4FF4B6DF" w14:textId="77777777" w:rsidR="00EC5413" w:rsidRPr="0079404B" w:rsidRDefault="00EC5413">
            <w:pPr>
              <w:pStyle w:val="Normal10pt0"/>
              <w:keepNext/>
              <w:jc w:val="center"/>
              <w:rPr>
                <w:sz w:val="22"/>
                <w:szCs w:val="22"/>
              </w:rPr>
            </w:pPr>
            <w:r w:rsidRPr="0079404B">
              <w:rPr>
                <w:sz w:val="22"/>
                <w:szCs w:val="22"/>
              </w:rPr>
              <w:t>%</w:t>
            </w:r>
          </w:p>
          <w:p w14:paraId="4FF4B6E0" w14:textId="77777777" w:rsidR="00EC5413" w:rsidRPr="0079404B" w:rsidRDefault="00EC5413">
            <w:pPr>
              <w:pStyle w:val="Normal10pt0"/>
              <w:keepNext/>
              <w:jc w:val="center"/>
              <w:rPr>
                <w:sz w:val="22"/>
                <w:szCs w:val="22"/>
              </w:rPr>
            </w:pPr>
            <w:r w:rsidRPr="0079404B">
              <w:rPr>
                <w:sz w:val="22"/>
                <w:szCs w:val="22"/>
              </w:rPr>
              <w:t>[IC del 95 %</w:t>
            </w:r>
            <w:r w:rsidRPr="0079404B">
              <w:rPr>
                <w:rStyle w:val="Superscript"/>
                <w:sz w:val="22"/>
                <w:szCs w:val="22"/>
              </w:rPr>
              <w:t>c</w:t>
            </w:r>
            <w:r w:rsidRPr="0079404B">
              <w:rPr>
                <w:sz w:val="22"/>
                <w:szCs w:val="22"/>
              </w:rPr>
              <w:t>]</w:t>
            </w:r>
          </w:p>
        </w:tc>
        <w:tc>
          <w:tcPr>
            <w:tcW w:w="2551" w:type="dxa"/>
            <w:tcBorders>
              <w:top w:val="nil"/>
              <w:left w:val="nil"/>
              <w:bottom w:val="single" w:sz="12" w:space="0" w:color="auto"/>
              <w:right w:val="single" w:sz="12" w:space="0" w:color="auto"/>
            </w:tcBorders>
            <w:vAlign w:val="bottom"/>
          </w:tcPr>
          <w:p w14:paraId="4FF4B6E1" w14:textId="77777777" w:rsidR="00EC5413" w:rsidRPr="0079404B" w:rsidRDefault="00EC5413">
            <w:pPr>
              <w:pStyle w:val="Normal10pt0"/>
              <w:keepNext/>
              <w:jc w:val="center"/>
              <w:rPr>
                <w:sz w:val="22"/>
                <w:szCs w:val="22"/>
              </w:rPr>
            </w:pPr>
            <w:r w:rsidRPr="0079404B">
              <w:rPr>
                <w:sz w:val="22"/>
                <w:szCs w:val="22"/>
              </w:rPr>
              <w:t>%</w:t>
            </w:r>
            <w:r w:rsidRPr="0079404B">
              <w:rPr>
                <w:rStyle w:val="Superscript"/>
                <w:sz w:val="22"/>
                <w:szCs w:val="22"/>
              </w:rPr>
              <w:t>d</w:t>
            </w:r>
          </w:p>
          <w:p w14:paraId="4FF4B6E2" w14:textId="77777777" w:rsidR="00EC5413" w:rsidRPr="0079404B" w:rsidRDefault="00EC5413">
            <w:pPr>
              <w:pStyle w:val="Normal10pt0"/>
              <w:keepNext/>
              <w:jc w:val="center"/>
              <w:rPr>
                <w:sz w:val="22"/>
                <w:szCs w:val="22"/>
              </w:rPr>
            </w:pPr>
            <w:r w:rsidRPr="0079404B">
              <w:rPr>
                <w:sz w:val="22"/>
                <w:szCs w:val="22"/>
              </w:rPr>
              <w:t>[IC del 96,7 %]</w:t>
            </w:r>
          </w:p>
        </w:tc>
      </w:tr>
      <w:tr w:rsidR="00EC5413" w:rsidRPr="00025C22" w14:paraId="4FF4B6ED" w14:textId="77777777">
        <w:tc>
          <w:tcPr>
            <w:tcW w:w="1618" w:type="dxa"/>
            <w:tcBorders>
              <w:top w:val="single" w:sz="12" w:space="0" w:color="auto"/>
              <w:left w:val="single" w:sz="12" w:space="0" w:color="auto"/>
              <w:bottom w:val="single" w:sz="12" w:space="0" w:color="auto"/>
              <w:right w:val="nil"/>
            </w:tcBorders>
          </w:tcPr>
          <w:p w14:paraId="4FF4B6E4" w14:textId="49D4FA06" w:rsidR="00EC5413" w:rsidRPr="0079404B" w:rsidRDefault="00EC5413">
            <w:pPr>
              <w:pStyle w:val="Normal10pt0"/>
              <w:keepNext/>
              <w:jc w:val="center"/>
              <w:rPr>
                <w:sz w:val="22"/>
                <w:szCs w:val="22"/>
              </w:rPr>
            </w:pPr>
            <w:r w:rsidRPr="0079404B">
              <w:rPr>
                <w:sz w:val="22"/>
                <w:szCs w:val="22"/>
              </w:rPr>
              <w:t>Ensayo pediátrico (estudio 5) (2</w:t>
            </w:r>
            <w:r w:rsidRPr="0079404B">
              <w:rPr>
                <w:sz w:val="22"/>
                <w:szCs w:val="22"/>
              </w:rPr>
              <w:noBreakHyphen/>
            </w:r>
            <w:r w:rsidRPr="0079404B">
              <w:rPr>
                <w:sz w:val="22"/>
                <w:szCs w:val="22"/>
                <w:lang w:val="en-GB"/>
              </w:rPr>
              <w:t>&lt; </w:t>
            </w:r>
            <w:r w:rsidRPr="0079404B">
              <w:rPr>
                <w:sz w:val="22"/>
                <w:szCs w:val="22"/>
              </w:rPr>
              <w:t>18)</w:t>
            </w:r>
          </w:p>
        </w:tc>
        <w:tc>
          <w:tcPr>
            <w:tcW w:w="635" w:type="dxa"/>
            <w:tcBorders>
              <w:top w:val="single" w:sz="12" w:space="0" w:color="auto"/>
              <w:left w:val="nil"/>
              <w:bottom w:val="single" w:sz="12" w:space="0" w:color="auto"/>
              <w:right w:val="nil"/>
            </w:tcBorders>
          </w:tcPr>
          <w:p w14:paraId="4FF4B6E5" w14:textId="77777777" w:rsidR="00EC5413" w:rsidRPr="0079404B" w:rsidRDefault="00EC5413">
            <w:pPr>
              <w:pStyle w:val="Normal10pt0"/>
              <w:keepNext/>
              <w:jc w:val="center"/>
              <w:rPr>
                <w:sz w:val="22"/>
                <w:szCs w:val="22"/>
              </w:rPr>
            </w:pPr>
            <w:r w:rsidRPr="0079404B">
              <w:rPr>
                <w:sz w:val="22"/>
                <w:szCs w:val="22"/>
              </w:rPr>
              <w:t>399</w:t>
            </w:r>
          </w:p>
        </w:tc>
        <w:tc>
          <w:tcPr>
            <w:tcW w:w="1701" w:type="dxa"/>
            <w:tcBorders>
              <w:top w:val="single" w:sz="12" w:space="0" w:color="auto"/>
              <w:left w:val="nil"/>
              <w:bottom w:val="single" w:sz="12" w:space="0" w:color="auto"/>
              <w:right w:val="nil"/>
            </w:tcBorders>
          </w:tcPr>
          <w:p w14:paraId="4FF4B6E6" w14:textId="77777777" w:rsidR="00EC5413" w:rsidRPr="0079404B" w:rsidRDefault="00EC5413">
            <w:pPr>
              <w:pStyle w:val="Normal10pt0"/>
              <w:keepNext/>
              <w:jc w:val="center"/>
              <w:rPr>
                <w:sz w:val="22"/>
                <w:szCs w:val="22"/>
              </w:rPr>
            </w:pPr>
            <w:r w:rsidRPr="0079404B">
              <w:rPr>
                <w:sz w:val="22"/>
                <w:szCs w:val="22"/>
              </w:rPr>
              <w:t>98,5 %</w:t>
            </w:r>
          </w:p>
          <w:p w14:paraId="4FF4B6E7" w14:textId="77777777" w:rsidR="00EC5413" w:rsidRPr="0079404B" w:rsidRDefault="00EC5413">
            <w:pPr>
              <w:pStyle w:val="Normal10pt0"/>
              <w:keepNext/>
              <w:jc w:val="center"/>
              <w:rPr>
                <w:sz w:val="22"/>
                <w:szCs w:val="22"/>
              </w:rPr>
            </w:pPr>
            <w:r w:rsidRPr="0079404B">
              <w:rPr>
                <w:sz w:val="22"/>
                <w:szCs w:val="22"/>
              </w:rPr>
              <w:t>[96,2 %, 99,4 %]</w:t>
            </w:r>
          </w:p>
        </w:tc>
        <w:tc>
          <w:tcPr>
            <w:tcW w:w="851" w:type="dxa"/>
            <w:tcBorders>
              <w:top w:val="single" w:sz="12" w:space="0" w:color="auto"/>
              <w:left w:val="nil"/>
              <w:bottom w:val="single" w:sz="12" w:space="0" w:color="auto"/>
              <w:right w:val="nil"/>
            </w:tcBorders>
          </w:tcPr>
          <w:p w14:paraId="4FF4B6E8" w14:textId="77777777" w:rsidR="00EC5413" w:rsidRPr="0079404B" w:rsidRDefault="00EC5413">
            <w:pPr>
              <w:pStyle w:val="Normal10pt0"/>
              <w:keepNext/>
              <w:jc w:val="center"/>
              <w:rPr>
                <w:sz w:val="22"/>
                <w:szCs w:val="22"/>
              </w:rPr>
            </w:pPr>
            <w:r w:rsidRPr="0079404B">
              <w:rPr>
                <w:sz w:val="22"/>
                <w:szCs w:val="22"/>
              </w:rPr>
              <w:t>67</w:t>
            </w:r>
          </w:p>
        </w:tc>
        <w:tc>
          <w:tcPr>
            <w:tcW w:w="1701" w:type="dxa"/>
            <w:tcBorders>
              <w:top w:val="single" w:sz="12" w:space="0" w:color="auto"/>
              <w:left w:val="nil"/>
              <w:bottom w:val="single" w:sz="12" w:space="0" w:color="auto"/>
              <w:right w:val="nil"/>
            </w:tcBorders>
          </w:tcPr>
          <w:p w14:paraId="4FF4B6E9" w14:textId="77777777" w:rsidR="00EC5413" w:rsidRPr="0079404B" w:rsidRDefault="00EC5413">
            <w:pPr>
              <w:pStyle w:val="Normal10pt0"/>
              <w:keepNext/>
              <w:jc w:val="center"/>
              <w:rPr>
                <w:sz w:val="22"/>
                <w:szCs w:val="22"/>
              </w:rPr>
            </w:pPr>
            <w:r w:rsidRPr="0079404B">
              <w:rPr>
                <w:sz w:val="22"/>
                <w:szCs w:val="22"/>
              </w:rPr>
              <w:t>1,5 %</w:t>
            </w:r>
          </w:p>
          <w:p w14:paraId="4FF4B6EA" w14:textId="77777777" w:rsidR="00EC5413" w:rsidRPr="0079404B" w:rsidRDefault="00EC5413">
            <w:pPr>
              <w:pStyle w:val="Normal10pt0"/>
              <w:keepNext/>
              <w:jc w:val="center"/>
              <w:rPr>
                <w:sz w:val="22"/>
                <w:szCs w:val="22"/>
              </w:rPr>
            </w:pPr>
            <w:r w:rsidRPr="0079404B">
              <w:rPr>
                <w:sz w:val="22"/>
                <w:szCs w:val="22"/>
              </w:rPr>
              <w:t>[0,3 %, 8,0 %]</w:t>
            </w:r>
          </w:p>
        </w:tc>
        <w:tc>
          <w:tcPr>
            <w:tcW w:w="2551" w:type="dxa"/>
            <w:tcBorders>
              <w:top w:val="single" w:sz="12" w:space="0" w:color="auto"/>
              <w:left w:val="nil"/>
              <w:bottom w:val="single" w:sz="12" w:space="0" w:color="auto"/>
              <w:right w:val="single" w:sz="12" w:space="0" w:color="auto"/>
            </w:tcBorders>
          </w:tcPr>
          <w:p w14:paraId="4FF4B6EB" w14:textId="77777777" w:rsidR="00EC5413" w:rsidRPr="0079404B" w:rsidRDefault="00EC5413">
            <w:pPr>
              <w:pStyle w:val="Normal10pt0"/>
              <w:keepNext/>
              <w:jc w:val="center"/>
              <w:rPr>
                <w:sz w:val="22"/>
                <w:szCs w:val="22"/>
              </w:rPr>
            </w:pPr>
            <w:r w:rsidRPr="0079404B">
              <w:rPr>
                <w:sz w:val="22"/>
                <w:szCs w:val="22"/>
              </w:rPr>
              <w:t>5,0 %</w:t>
            </w:r>
          </w:p>
          <w:p w14:paraId="4FF4B6EC" w14:textId="77777777" w:rsidR="00EC5413" w:rsidRPr="0079404B" w:rsidRDefault="00EC5413">
            <w:pPr>
              <w:pStyle w:val="Normal10pt0"/>
              <w:keepNext/>
              <w:jc w:val="center"/>
              <w:rPr>
                <w:sz w:val="22"/>
                <w:szCs w:val="22"/>
              </w:rPr>
            </w:pPr>
            <w:r w:rsidRPr="0079404B">
              <w:rPr>
                <w:sz w:val="22"/>
                <w:szCs w:val="22"/>
              </w:rPr>
              <w:t>[2,8 %, 6,4 %]</w:t>
            </w:r>
            <w:r w:rsidRPr="0079404B">
              <w:rPr>
                <w:rStyle w:val="Superscript"/>
                <w:sz w:val="22"/>
                <w:szCs w:val="22"/>
              </w:rPr>
              <w:t>c</w:t>
            </w:r>
          </w:p>
        </w:tc>
      </w:tr>
    </w:tbl>
    <w:p w14:paraId="4FF4B6EE" w14:textId="77777777" w:rsidR="00EC5413" w:rsidRDefault="00EC5413" w:rsidP="00CB06CB">
      <w:pPr>
        <w:pStyle w:val="Normal10pt0"/>
        <w:keepNext/>
        <w:ind w:left="567" w:hanging="283"/>
      </w:pPr>
      <w:r>
        <w:rPr>
          <w:rStyle w:val="Superscript"/>
        </w:rPr>
        <w:t>a</w:t>
      </w:r>
      <w:r>
        <w:tab/>
        <w:t>La seroconversión se define como el porcentaje de sujetos que alcanzaron un aumento de al menos cuatro veces en el título de anticuerpos vibriocidas 10 días después de la vacunación en comparación con el valor inicial.</w:t>
      </w:r>
    </w:p>
    <w:p w14:paraId="4FF4B6EF" w14:textId="48DE9F46" w:rsidR="00EC5413" w:rsidRDefault="00EC5413" w:rsidP="00CB06CB">
      <w:pPr>
        <w:pStyle w:val="Normal10pt0"/>
        <w:keepNext/>
        <w:ind w:left="567" w:hanging="283"/>
      </w:pPr>
      <w:r>
        <w:rPr>
          <w:rStyle w:val="Superscript"/>
        </w:rPr>
        <w:t>b</w:t>
      </w:r>
      <w:r>
        <w:tab/>
        <w:t>N</w:t>
      </w:r>
      <w:r w:rsidR="00D93C93">
        <w:t xml:space="preserve"> </w:t>
      </w:r>
      <w:r>
        <w:t>=</w:t>
      </w:r>
      <w:r w:rsidR="00D93C93">
        <w:t xml:space="preserve"> </w:t>
      </w:r>
      <w:r>
        <w:t>número de sujetos con muestras analizadas en el día 1 y el día 11.</w:t>
      </w:r>
    </w:p>
    <w:p w14:paraId="4FF4B6F0" w14:textId="1DA96F3B" w:rsidR="00EC5413" w:rsidRDefault="00EC5413" w:rsidP="00CB06CB">
      <w:pPr>
        <w:pStyle w:val="Normal10pt0"/>
        <w:keepNext/>
        <w:ind w:left="567" w:hanging="283"/>
      </w:pPr>
      <w:r>
        <w:rPr>
          <w:rStyle w:val="Superscript"/>
        </w:rPr>
        <w:t>c</w:t>
      </w:r>
      <w:r>
        <w:tab/>
        <w:t>IC</w:t>
      </w:r>
      <w:r w:rsidR="00D93C93">
        <w:t xml:space="preserve"> </w:t>
      </w:r>
      <w:r>
        <w:t>=</w:t>
      </w:r>
      <w:r w:rsidR="00D93C93">
        <w:t xml:space="preserve"> </w:t>
      </w:r>
      <w:r>
        <w:t>intervalo de confianza.</w:t>
      </w:r>
    </w:p>
    <w:p w14:paraId="4FF4B6F1" w14:textId="3245B349" w:rsidR="00EC5413" w:rsidRDefault="00EC5413" w:rsidP="00CB06CB">
      <w:pPr>
        <w:pStyle w:val="Normal10pt0"/>
        <w:keepLines/>
        <w:ind w:left="567" w:hanging="283"/>
      </w:pPr>
      <w:r>
        <w:rPr>
          <w:rStyle w:val="Superscript"/>
        </w:rPr>
        <w:t>d</w:t>
      </w:r>
      <w:r>
        <w:tab/>
        <w:t>Criterio de no inferioridad: el límite inferior del intervalo de confianza bilateral del 98,3 % de la diferencia en las tasas de seroconversión comparadas con los adultos de 18 a &lt; 46 años tenía que ser mayor de –10 puntos porcentuales, y el límite inferior del intervalo de confianza bilateral del 98,3 % de la proporción de vacunados que mostraron seroconversión 10 días después de la vacunación, tenía que ser igual o superior al 70 %.</w:t>
      </w:r>
    </w:p>
    <w:p w14:paraId="4FF4B6F2" w14:textId="77777777" w:rsidR="00EC5413" w:rsidRDefault="00EC5413"/>
    <w:p w14:paraId="4FF4B6F3" w14:textId="74315863" w:rsidR="00EC5413" w:rsidRPr="00CB06CB" w:rsidRDefault="00EC5413" w:rsidP="00D73B55">
      <w:pPr>
        <w:rPr>
          <w:b/>
          <w:bCs/>
        </w:rPr>
      </w:pPr>
      <w:r w:rsidRPr="00CB06CB">
        <w:rPr>
          <w:b/>
          <w:bCs/>
        </w:rPr>
        <w:t xml:space="preserve">Tabla 5: Seroconversión de anticuerpos vibriocidas contra la cepta de la vacuna </w:t>
      </w:r>
      <w:r w:rsidRPr="00CB06CB">
        <w:rPr>
          <w:b/>
          <w:bCs/>
          <w:i/>
          <w:iCs/>
        </w:rPr>
        <w:t>V</w:t>
      </w:r>
      <w:r>
        <w:rPr>
          <w:b/>
          <w:bCs/>
          <w:i/>
          <w:iCs/>
        </w:rPr>
        <w:t xml:space="preserve">ibrio </w:t>
      </w:r>
      <w:r w:rsidRPr="00CB06CB">
        <w:rPr>
          <w:b/>
          <w:bCs/>
          <w:i/>
          <w:iCs/>
        </w:rPr>
        <w:t>cholerae</w:t>
      </w:r>
      <w:r w:rsidRPr="00CB06CB">
        <w:rPr>
          <w:b/>
          <w:bCs/>
        </w:rPr>
        <w:t xml:space="preserve"> del serotipo Inaba clásica de 10 a 729 días después de la vacunación en niños de entre 12 y 18 años </w:t>
      </w:r>
      <w:r w:rsidRPr="009A4FD9">
        <w:rPr>
          <w:b/>
          <w:bCs/>
        </w:rPr>
        <w:t xml:space="preserve">de edad </w:t>
      </w:r>
      <w:r w:rsidRPr="00CB06CB">
        <w:rPr>
          <w:b/>
          <w:bCs/>
        </w:rPr>
        <w:t>[Población evaluable de inmunigenicidad en el subestudio de seguimiento a largo plazo]</w:t>
      </w:r>
    </w:p>
    <w:p w14:paraId="4FF4B6F4" w14:textId="77777777" w:rsidR="00EC5413" w:rsidRDefault="00EC5413" w:rsidP="00D73B55"/>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5"/>
        <w:gridCol w:w="3025"/>
        <w:gridCol w:w="3025"/>
      </w:tblGrid>
      <w:tr w:rsidR="00EC5413" w:rsidRPr="00025C22" w14:paraId="4FF4B6FA" w14:textId="77777777" w:rsidTr="0079404B">
        <w:tc>
          <w:tcPr>
            <w:tcW w:w="3025" w:type="dxa"/>
            <w:tcBorders>
              <w:bottom w:val="single" w:sz="4" w:space="0" w:color="auto"/>
            </w:tcBorders>
          </w:tcPr>
          <w:p w14:paraId="4FF4B6F5" w14:textId="2418BBE3" w:rsidR="00EC5413" w:rsidRPr="007967C1" w:rsidRDefault="00EC5413" w:rsidP="000A6205">
            <w:pPr>
              <w:jc w:val="center"/>
              <w:rPr>
                <w:b/>
                <w:bCs/>
              </w:rPr>
            </w:pPr>
            <w:r w:rsidRPr="007967C1">
              <w:rPr>
                <w:b/>
                <w:bCs/>
              </w:rPr>
              <w:t>Ensayo pediátrico (12</w:t>
            </w:r>
            <w:r w:rsidRPr="00025C22">
              <w:rPr>
                <w:b/>
                <w:bCs/>
              </w:rPr>
              <w:t xml:space="preserve"> a </w:t>
            </w:r>
            <w:r w:rsidRPr="0079404B">
              <w:rPr>
                <w:b/>
                <w:bCs/>
              </w:rPr>
              <w:t>&lt; </w:t>
            </w:r>
            <w:r w:rsidRPr="007967C1">
              <w:rPr>
                <w:b/>
                <w:bCs/>
              </w:rPr>
              <w:t>18 años)</w:t>
            </w:r>
          </w:p>
          <w:p w14:paraId="4FF4B6F6" w14:textId="77777777" w:rsidR="00EC5413" w:rsidRPr="00025C22" w:rsidRDefault="00EC5413" w:rsidP="000A6205">
            <w:pPr>
              <w:jc w:val="center"/>
            </w:pPr>
            <w:r w:rsidRPr="00025C22">
              <w:t>Día posterior a la vacunación</w:t>
            </w:r>
          </w:p>
        </w:tc>
        <w:tc>
          <w:tcPr>
            <w:tcW w:w="3026" w:type="dxa"/>
            <w:tcBorders>
              <w:bottom w:val="single" w:sz="4" w:space="0" w:color="auto"/>
            </w:tcBorders>
          </w:tcPr>
          <w:p w14:paraId="4FF4B6F7" w14:textId="63ECB8EC" w:rsidR="00EC5413" w:rsidRPr="00025C22" w:rsidRDefault="00EC5413" w:rsidP="000A6205">
            <w:pPr>
              <w:jc w:val="center"/>
              <w:rPr>
                <w:b/>
                <w:bCs/>
              </w:rPr>
            </w:pPr>
            <w:r w:rsidRPr="00025C22">
              <w:rPr>
                <w:b/>
                <w:bCs/>
              </w:rPr>
              <w:t>Vaxchora</w:t>
            </w:r>
          </w:p>
          <w:p w14:paraId="4FF4B6F8" w14:textId="77777777" w:rsidR="00EC5413" w:rsidRPr="007967C1" w:rsidRDefault="00EC5413" w:rsidP="000A6205">
            <w:pPr>
              <w:jc w:val="center"/>
              <w:rPr>
                <w:b/>
                <w:bCs/>
              </w:rPr>
            </w:pPr>
            <w:r w:rsidRPr="0079404B">
              <w:rPr>
                <w:lang w:val="en-GB"/>
              </w:rPr>
              <w:t>N</w:t>
            </w:r>
            <w:r w:rsidRPr="0079404B">
              <w:rPr>
                <w:vertAlign w:val="superscript"/>
                <w:lang w:val="en-GB"/>
              </w:rPr>
              <w:t>b</w:t>
            </w:r>
          </w:p>
        </w:tc>
        <w:tc>
          <w:tcPr>
            <w:tcW w:w="3026" w:type="dxa"/>
            <w:tcBorders>
              <w:bottom w:val="single" w:sz="4" w:space="0" w:color="auto"/>
            </w:tcBorders>
          </w:tcPr>
          <w:p w14:paraId="4FF4B6F9" w14:textId="0B7F1E30" w:rsidR="00EC5413" w:rsidRPr="007967C1" w:rsidRDefault="00EC5413" w:rsidP="000A6205">
            <w:pPr>
              <w:jc w:val="center"/>
            </w:pPr>
            <w:r w:rsidRPr="0079404B">
              <w:rPr>
                <w:b/>
                <w:bCs/>
              </w:rPr>
              <w:t>V</w:t>
            </w:r>
            <w:r w:rsidRPr="007967C1">
              <w:rPr>
                <w:b/>
                <w:bCs/>
              </w:rPr>
              <w:t>axchora</w:t>
            </w:r>
            <w:r w:rsidRPr="0079404B">
              <w:rPr>
                <w:b/>
                <w:bCs/>
              </w:rPr>
              <w:br/>
              <w:t>% de seroconversión</w:t>
            </w:r>
            <w:r w:rsidRPr="0079404B">
              <w:rPr>
                <w:vertAlign w:val="superscript"/>
              </w:rPr>
              <w:t>a</w:t>
            </w:r>
            <w:r w:rsidRPr="0079404B">
              <w:br/>
              <w:t>[95 % CI</w:t>
            </w:r>
            <w:r w:rsidRPr="0079404B">
              <w:rPr>
                <w:vertAlign w:val="superscript"/>
              </w:rPr>
              <w:t>c</w:t>
            </w:r>
            <w:r w:rsidRPr="0079404B">
              <w:t>]</w:t>
            </w:r>
          </w:p>
        </w:tc>
      </w:tr>
      <w:tr w:rsidR="00EC5413" w:rsidRPr="00025C22" w14:paraId="4FF4B6FF" w14:textId="77777777" w:rsidTr="0079404B">
        <w:tc>
          <w:tcPr>
            <w:tcW w:w="3025" w:type="dxa"/>
            <w:tcBorders>
              <w:top w:val="single" w:sz="4" w:space="0" w:color="auto"/>
              <w:left w:val="single" w:sz="4" w:space="0" w:color="auto"/>
              <w:bottom w:val="nil"/>
              <w:right w:val="nil"/>
            </w:tcBorders>
          </w:tcPr>
          <w:p w14:paraId="4FF4B6FB" w14:textId="77777777" w:rsidR="00EC5413" w:rsidRPr="00025C22" w:rsidRDefault="00EC5413" w:rsidP="000A6205">
            <w:pPr>
              <w:jc w:val="center"/>
            </w:pPr>
            <w:r w:rsidRPr="00025C22">
              <w:t>10</w:t>
            </w:r>
          </w:p>
        </w:tc>
        <w:tc>
          <w:tcPr>
            <w:tcW w:w="3026" w:type="dxa"/>
            <w:tcBorders>
              <w:top w:val="single" w:sz="4" w:space="0" w:color="auto"/>
              <w:left w:val="nil"/>
              <w:bottom w:val="nil"/>
              <w:right w:val="nil"/>
            </w:tcBorders>
          </w:tcPr>
          <w:p w14:paraId="4FF4B6FC" w14:textId="77777777" w:rsidR="00EC5413" w:rsidRPr="00025C22" w:rsidRDefault="00EC5413" w:rsidP="000A6205">
            <w:pPr>
              <w:jc w:val="center"/>
            </w:pPr>
            <w:r w:rsidRPr="00025C22">
              <w:t>72</w:t>
            </w:r>
          </w:p>
        </w:tc>
        <w:tc>
          <w:tcPr>
            <w:tcW w:w="3026" w:type="dxa"/>
            <w:tcBorders>
              <w:top w:val="single" w:sz="4" w:space="0" w:color="auto"/>
              <w:left w:val="nil"/>
              <w:bottom w:val="nil"/>
              <w:right w:val="single" w:sz="4" w:space="0" w:color="auto"/>
            </w:tcBorders>
          </w:tcPr>
          <w:p w14:paraId="4FF4B6FD" w14:textId="43C49585" w:rsidR="00EC5413" w:rsidRPr="00025C22" w:rsidRDefault="00EC5413" w:rsidP="000A6205">
            <w:pPr>
              <w:jc w:val="center"/>
            </w:pPr>
            <w:r w:rsidRPr="00025C22">
              <w:t>100,00 %</w:t>
            </w:r>
          </w:p>
          <w:p w14:paraId="4FF4B6FE" w14:textId="77777777" w:rsidR="00EC5413" w:rsidRPr="00025C22" w:rsidRDefault="00EC5413" w:rsidP="000A6205">
            <w:pPr>
              <w:jc w:val="center"/>
            </w:pPr>
            <w:r w:rsidRPr="00025C22">
              <w:t>[94,9 %, 100,00 %]</w:t>
            </w:r>
          </w:p>
        </w:tc>
      </w:tr>
      <w:tr w:rsidR="00EC5413" w:rsidRPr="00025C22" w14:paraId="4FF4B704" w14:textId="77777777" w:rsidTr="0079404B">
        <w:tc>
          <w:tcPr>
            <w:tcW w:w="3025" w:type="dxa"/>
            <w:tcBorders>
              <w:top w:val="nil"/>
              <w:left w:val="single" w:sz="4" w:space="0" w:color="auto"/>
              <w:bottom w:val="nil"/>
              <w:right w:val="nil"/>
            </w:tcBorders>
          </w:tcPr>
          <w:p w14:paraId="4FF4B700" w14:textId="77777777" w:rsidR="00EC5413" w:rsidRPr="00025C22" w:rsidRDefault="00EC5413" w:rsidP="000A6205">
            <w:pPr>
              <w:jc w:val="center"/>
            </w:pPr>
            <w:r w:rsidRPr="00025C22">
              <w:t>28</w:t>
            </w:r>
          </w:p>
        </w:tc>
        <w:tc>
          <w:tcPr>
            <w:tcW w:w="3026" w:type="dxa"/>
            <w:tcBorders>
              <w:top w:val="nil"/>
              <w:left w:val="nil"/>
              <w:bottom w:val="nil"/>
              <w:right w:val="nil"/>
            </w:tcBorders>
          </w:tcPr>
          <w:p w14:paraId="4FF4B701" w14:textId="77777777" w:rsidR="00EC5413" w:rsidRPr="00025C22" w:rsidRDefault="00EC5413" w:rsidP="000A6205">
            <w:pPr>
              <w:jc w:val="center"/>
            </w:pPr>
            <w:r w:rsidRPr="00025C22">
              <w:t>72</w:t>
            </w:r>
          </w:p>
        </w:tc>
        <w:tc>
          <w:tcPr>
            <w:tcW w:w="3026" w:type="dxa"/>
            <w:tcBorders>
              <w:top w:val="nil"/>
              <w:left w:val="nil"/>
              <w:bottom w:val="nil"/>
              <w:right w:val="single" w:sz="4" w:space="0" w:color="auto"/>
            </w:tcBorders>
          </w:tcPr>
          <w:p w14:paraId="4FF4B702" w14:textId="569596BC" w:rsidR="00EC5413" w:rsidRPr="00025C22" w:rsidRDefault="00EC5413" w:rsidP="000A6205">
            <w:pPr>
              <w:jc w:val="center"/>
            </w:pPr>
            <w:r w:rsidRPr="00025C22">
              <w:t>100,00 %</w:t>
            </w:r>
          </w:p>
          <w:p w14:paraId="4FF4B703" w14:textId="77777777" w:rsidR="00EC5413" w:rsidRPr="00025C22" w:rsidRDefault="00EC5413" w:rsidP="000A6205">
            <w:pPr>
              <w:jc w:val="center"/>
            </w:pPr>
            <w:r w:rsidRPr="00025C22">
              <w:t>[94,9 %, 100,00 %]</w:t>
            </w:r>
          </w:p>
        </w:tc>
      </w:tr>
      <w:tr w:rsidR="00EC5413" w:rsidRPr="00025C22" w14:paraId="4FF4B709" w14:textId="77777777" w:rsidTr="0079404B">
        <w:tc>
          <w:tcPr>
            <w:tcW w:w="3025" w:type="dxa"/>
            <w:tcBorders>
              <w:top w:val="nil"/>
              <w:left w:val="single" w:sz="4" w:space="0" w:color="auto"/>
              <w:bottom w:val="nil"/>
              <w:right w:val="nil"/>
            </w:tcBorders>
          </w:tcPr>
          <w:p w14:paraId="4FF4B705" w14:textId="77777777" w:rsidR="00EC5413" w:rsidRPr="00025C22" w:rsidRDefault="00EC5413" w:rsidP="000A6205">
            <w:pPr>
              <w:jc w:val="center"/>
            </w:pPr>
            <w:r w:rsidRPr="00025C22">
              <w:t>90</w:t>
            </w:r>
          </w:p>
        </w:tc>
        <w:tc>
          <w:tcPr>
            <w:tcW w:w="3026" w:type="dxa"/>
            <w:tcBorders>
              <w:top w:val="nil"/>
              <w:left w:val="nil"/>
              <w:bottom w:val="nil"/>
              <w:right w:val="nil"/>
            </w:tcBorders>
          </w:tcPr>
          <w:p w14:paraId="4FF4B706" w14:textId="77777777" w:rsidR="00EC5413" w:rsidRPr="00025C22" w:rsidRDefault="00EC5413" w:rsidP="000A6205">
            <w:pPr>
              <w:jc w:val="center"/>
            </w:pPr>
            <w:r w:rsidRPr="00025C22">
              <w:t>72</w:t>
            </w:r>
          </w:p>
        </w:tc>
        <w:tc>
          <w:tcPr>
            <w:tcW w:w="3026" w:type="dxa"/>
            <w:tcBorders>
              <w:top w:val="nil"/>
              <w:left w:val="nil"/>
              <w:bottom w:val="nil"/>
              <w:right w:val="single" w:sz="4" w:space="0" w:color="auto"/>
            </w:tcBorders>
          </w:tcPr>
          <w:p w14:paraId="4FF4B707" w14:textId="4D4120D6" w:rsidR="00EC5413" w:rsidRPr="00025C22" w:rsidRDefault="00EC5413" w:rsidP="000A6205">
            <w:pPr>
              <w:jc w:val="center"/>
            </w:pPr>
            <w:r w:rsidRPr="00025C22">
              <w:t>88,9 %</w:t>
            </w:r>
          </w:p>
          <w:p w14:paraId="4FF4B708" w14:textId="77777777" w:rsidR="00EC5413" w:rsidRPr="00025C22" w:rsidRDefault="00EC5413" w:rsidP="000A6205">
            <w:pPr>
              <w:jc w:val="center"/>
            </w:pPr>
            <w:r w:rsidRPr="00025C22">
              <w:t>[79,6 %, 94,3 %]</w:t>
            </w:r>
          </w:p>
        </w:tc>
      </w:tr>
      <w:tr w:rsidR="00EC5413" w:rsidRPr="00025C22" w14:paraId="4FF4B70E" w14:textId="77777777" w:rsidTr="0079404B">
        <w:tc>
          <w:tcPr>
            <w:tcW w:w="3025" w:type="dxa"/>
            <w:tcBorders>
              <w:top w:val="nil"/>
              <w:left w:val="single" w:sz="4" w:space="0" w:color="auto"/>
              <w:bottom w:val="nil"/>
              <w:right w:val="nil"/>
            </w:tcBorders>
          </w:tcPr>
          <w:p w14:paraId="4FF4B70A" w14:textId="77777777" w:rsidR="00EC5413" w:rsidRPr="00025C22" w:rsidRDefault="00EC5413" w:rsidP="000A6205">
            <w:pPr>
              <w:jc w:val="center"/>
            </w:pPr>
            <w:r w:rsidRPr="00025C22">
              <w:t>180</w:t>
            </w:r>
          </w:p>
        </w:tc>
        <w:tc>
          <w:tcPr>
            <w:tcW w:w="3026" w:type="dxa"/>
            <w:tcBorders>
              <w:top w:val="nil"/>
              <w:left w:val="nil"/>
              <w:bottom w:val="nil"/>
              <w:right w:val="nil"/>
            </w:tcBorders>
          </w:tcPr>
          <w:p w14:paraId="4FF4B70B" w14:textId="77777777" w:rsidR="00EC5413" w:rsidRPr="00025C22" w:rsidRDefault="00EC5413" w:rsidP="000A6205">
            <w:pPr>
              <w:jc w:val="center"/>
            </w:pPr>
            <w:r w:rsidRPr="00025C22">
              <w:t>71</w:t>
            </w:r>
          </w:p>
        </w:tc>
        <w:tc>
          <w:tcPr>
            <w:tcW w:w="3026" w:type="dxa"/>
            <w:tcBorders>
              <w:top w:val="nil"/>
              <w:left w:val="nil"/>
              <w:bottom w:val="nil"/>
              <w:right w:val="single" w:sz="4" w:space="0" w:color="auto"/>
            </w:tcBorders>
          </w:tcPr>
          <w:p w14:paraId="4FF4B70C" w14:textId="0569F74E" w:rsidR="00EC5413" w:rsidRPr="00025C22" w:rsidRDefault="00EC5413" w:rsidP="000A6205">
            <w:pPr>
              <w:jc w:val="center"/>
            </w:pPr>
            <w:r w:rsidRPr="00025C22">
              <w:t>83,1 %</w:t>
            </w:r>
          </w:p>
          <w:p w14:paraId="4FF4B70D" w14:textId="77777777" w:rsidR="00EC5413" w:rsidRPr="00025C22" w:rsidRDefault="00EC5413" w:rsidP="000A6205">
            <w:pPr>
              <w:jc w:val="center"/>
            </w:pPr>
            <w:r w:rsidRPr="00025C22">
              <w:t>[72,7 %, 90,1 %]</w:t>
            </w:r>
          </w:p>
        </w:tc>
      </w:tr>
      <w:tr w:rsidR="00EC5413" w:rsidRPr="00025C22" w14:paraId="4FF4B713" w14:textId="77777777" w:rsidTr="0079404B">
        <w:tc>
          <w:tcPr>
            <w:tcW w:w="3025" w:type="dxa"/>
            <w:tcBorders>
              <w:top w:val="nil"/>
              <w:left w:val="single" w:sz="4" w:space="0" w:color="auto"/>
              <w:bottom w:val="nil"/>
              <w:right w:val="nil"/>
            </w:tcBorders>
          </w:tcPr>
          <w:p w14:paraId="4FF4B70F" w14:textId="77777777" w:rsidR="00EC5413" w:rsidRPr="00025C22" w:rsidRDefault="00EC5413" w:rsidP="000A6205">
            <w:pPr>
              <w:jc w:val="center"/>
            </w:pPr>
            <w:r w:rsidRPr="00025C22">
              <w:t>364</w:t>
            </w:r>
          </w:p>
        </w:tc>
        <w:tc>
          <w:tcPr>
            <w:tcW w:w="3026" w:type="dxa"/>
            <w:tcBorders>
              <w:top w:val="nil"/>
              <w:left w:val="nil"/>
              <w:bottom w:val="nil"/>
              <w:right w:val="nil"/>
            </w:tcBorders>
          </w:tcPr>
          <w:p w14:paraId="4FF4B710" w14:textId="77777777" w:rsidR="00EC5413" w:rsidRPr="00025C22" w:rsidRDefault="00EC5413" w:rsidP="000A6205">
            <w:pPr>
              <w:jc w:val="center"/>
            </w:pPr>
            <w:r w:rsidRPr="00025C22">
              <w:t>70</w:t>
            </w:r>
          </w:p>
        </w:tc>
        <w:tc>
          <w:tcPr>
            <w:tcW w:w="3026" w:type="dxa"/>
            <w:tcBorders>
              <w:top w:val="nil"/>
              <w:left w:val="nil"/>
              <w:bottom w:val="nil"/>
              <w:right w:val="single" w:sz="4" w:space="0" w:color="auto"/>
            </w:tcBorders>
          </w:tcPr>
          <w:p w14:paraId="4FF4B711" w14:textId="028A0EE4" w:rsidR="00EC5413" w:rsidRPr="00025C22" w:rsidRDefault="00EC5413" w:rsidP="000A6205">
            <w:pPr>
              <w:jc w:val="center"/>
            </w:pPr>
            <w:r w:rsidRPr="00025C22">
              <w:t>68,6 %</w:t>
            </w:r>
          </w:p>
          <w:p w14:paraId="4FF4B712" w14:textId="77777777" w:rsidR="00EC5413" w:rsidRPr="00025C22" w:rsidRDefault="00EC5413" w:rsidP="000A6205">
            <w:pPr>
              <w:jc w:val="center"/>
            </w:pPr>
            <w:r w:rsidRPr="00025C22">
              <w:t>[57,0 %, 78,2 %]</w:t>
            </w:r>
          </w:p>
        </w:tc>
      </w:tr>
      <w:tr w:rsidR="00EC5413" w:rsidRPr="00025C22" w14:paraId="4FF4B718" w14:textId="77777777" w:rsidTr="0079404B">
        <w:tc>
          <w:tcPr>
            <w:tcW w:w="3025" w:type="dxa"/>
            <w:tcBorders>
              <w:top w:val="nil"/>
              <w:left w:val="single" w:sz="4" w:space="0" w:color="auto"/>
              <w:bottom w:val="nil"/>
              <w:right w:val="nil"/>
            </w:tcBorders>
          </w:tcPr>
          <w:p w14:paraId="4FF4B714" w14:textId="77777777" w:rsidR="00EC5413" w:rsidRPr="00025C22" w:rsidRDefault="00EC5413" w:rsidP="000A6205">
            <w:pPr>
              <w:jc w:val="center"/>
            </w:pPr>
            <w:r w:rsidRPr="00025C22">
              <w:t>546</w:t>
            </w:r>
          </w:p>
        </w:tc>
        <w:tc>
          <w:tcPr>
            <w:tcW w:w="3026" w:type="dxa"/>
            <w:tcBorders>
              <w:top w:val="nil"/>
              <w:left w:val="nil"/>
              <w:bottom w:val="nil"/>
              <w:right w:val="nil"/>
            </w:tcBorders>
          </w:tcPr>
          <w:p w14:paraId="4FF4B715" w14:textId="77777777" w:rsidR="00EC5413" w:rsidRPr="00025C22" w:rsidRDefault="00EC5413" w:rsidP="000A6205">
            <w:pPr>
              <w:jc w:val="center"/>
            </w:pPr>
            <w:r w:rsidRPr="00025C22">
              <w:t>67</w:t>
            </w:r>
          </w:p>
        </w:tc>
        <w:tc>
          <w:tcPr>
            <w:tcW w:w="3026" w:type="dxa"/>
            <w:tcBorders>
              <w:top w:val="nil"/>
              <w:left w:val="nil"/>
              <w:bottom w:val="nil"/>
              <w:right w:val="single" w:sz="4" w:space="0" w:color="auto"/>
            </w:tcBorders>
          </w:tcPr>
          <w:p w14:paraId="4FF4B716" w14:textId="1C945B94" w:rsidR="00EC5413" w:rsidRPr="00025C22" w:rsidRDefault="00EC5413" w:rsidP="000A6205">
            <w:pPr>
              <w:jc w:val="center"/>
            </w:pPr>
            <w:r w:rsidRPr="00025C22">
              <w:t>73,1 %</w:t>
            </w:r>
          </w:p>
          <w:p w14:paraId="4FF4B717" w14:textId="77777777" w:rsidR="00EC5413" w:rsidRPr="00025C22" w:rsidRDefault="00EC5413" w:rsidP="000A6205">
            <w:pPr>
              <w:jc w:val="center"/>
            </w:pPr>
            <w:r w:rsidRPr="00025C22">
              <w:t>[61,5 %, 82,3 %]</w:t>
            </w:r>
          </w:p>
        </w:tc>
      </w:tr>
      <w:tr w:rsidR="00EC5413" w:rsidRPr="00025C22" w14:paraId="4FF4B71D" w14:textId="77777777" w:rsidTr="0079404B">
        <w:tc>
          <w:tcPr>
            <w:tcW w:w="3025" w:type="dxa"/>
            <w:tcBorders>
              <w:top w:val="nil"/>
              <w:left w:val="single" w:sz="4" w:space="0" w:color="auto"/>
              <w:bottom w:val="single" w:sz="4" w:space="0" w:color="auto"/>
              <w:right w:val="nil"/>
            </w:tcBorders>
          </w:tcPr>
          <w:p w14:paraId="4FF4B719" w14:textId="77777777" w:rsidR="00EC5413" w:rsidRPr="00025C22" w:rsidRDefault="00EC5413" w:rsidP="000A6205">
            <w:pPr>
              <w:jc w:val="center"/>
            </w:pPr>
            <w:r w:rsidRPr="00025C22">
              <w:t>729</w:t>
            </w:r>
          </w:p>
        </w:tc>
        <w:tc>
          <w:tcPr>
            <w:tcW w:w="3026" w:type="dxa"/>
            <w:tcBorders>
              <w:top w:val="nil"/>
              <w:left w:val="nil"/>
              <w:bottom w:val="single" w:sz="4" w:space="0" w:color="auto"/>
              <w:right w:val="nil"/>
            </w:tcBorders>
          </w:tcPr>
          <w:p w14:paraId="4FF4B71A" w14:textId="77777777" w:rsidR="00EC5413" w:rsidRPr="00025C22" w:rsidRDefault="00EC5413" w:rsidP="000A6205">
            <w:pPr>
              <w:jc w:val="center"/>
            </w:pPr>
            <w:r w:rsidRPr="00025C22">
              <w:t>62</w:t>
            </w:r>
          </w:p>
        </w:tc>
        <w:tc>
          <w:tcPr>
            <w:tcW w:w="3026" w:type="dxa"/>
            <w:tcBorders>
              <w:top w:val="nil"/>
              <w:left w:val="nil"/>
              <w:bottom w:val="single" w:sz="4" w:space="0" w:color="auto"/>
              <w:right w:val="single" w:sz="4" w:space="0" w:color="auto"/>
            </w:tcBorders>
          </w:tcPr>
          <w:p w14:paraId="4FF4B71B" w14:textId="12C7F87C" w:rsidR="00EC5413" w:rsidRPr="00025C22" w:rsidRDefault="00EC5413" w:rsidP="000A6205">
            <w:pPr>
              <w:jc w:val="center"/>
            </w:pPr>
            <w:r w:rsidRPr="00025C22">
              <w:t>64,5 %</w:t>
            </w:r>
          </w:p>
          <w:p w14:paraId="4FF4B71C" w14:textId="77777777" w:rsidR="00EC5413" w:rsidRPr="00025C22" w:rsidRDefault="00EC5413" w:rsidP="000A6205">
            <w:pPr>
              <w:jc w:val="center"/>
            </w:pPr>
            <w:r w:rsidRPr="00025C22">
              <w:t>[52,1 %, 75,3 %]</w:t>
            </w:r>
          </w:p>
        </w:tc>
      </w:tr>
    </w:tbl>
    <w:p w14:paraId="4FF4B71E" w14:textId="77777777" w:rsidR="00EC5413" w:rsidRDefault="00EC5413" w:rsidP="00D27BB3">
      <w:pPr>
        <w:pStyle w:val="Normal10pt0"/>
        <w:keepNext/>
        <w:ind w:left="284" w:hanging="284"/>
      </w:pPr>
      <w:r>
        <w:rPr>
          <w:rStyle w:val="Superscript"/>
        </w:rPr>
        <w:lastRenderedPageBreak/>
        <w:t>a</w:t>
      </w:r>
      <w:r>
        <w:rPr>
          <w:rStyle w:val="Superscript"/>
        </w:rPr>
        <w:tab/>
      </w:r>
      <w:r>
        <w:t>La seroconversión se define como el porcentaje de sujetos que alcanzaron un aumento de al menos cuatro veces en el título de anticuerpos vibriocidas después de la vacunación en comparación con el valor inicial.</w:t>
      </w:r>
    </w:p>
    <w:p w14:paraId="4FF4B71F" w14:textId="58EF88FE" w:rsidR="00EC5413" w:rsidRDefault="00EC5413" w:rsidP="00D27BB3">
      <w:pPr>
        <w:pStyle w:val="Normal10pt0"/>
        <w:keepNext/>
        <w:ind w:left="284" w:hanging="284"/>
      </w:pPr>
      <w:r>
        <w:rPr>
          <w:rStyle w:val="Superscript"/>
        </w:rPr>
        <w:t>b</w:t>
      </w:r>
      <w:r>
        <w:rPr>
          <w:rStyle w:val="Superscript"/>
        </w:rPr>
        <w:tab/>
      </w:r>
      <w:r>
        <w:t>N</w:t>
      </w:r>
      <w:r w:rsidR="00D93C93">
        <w:t xml:space="preserve"> </w:t>
      </w:r>
      <w:r>
        <w:t>=</w:t>
      </w:r>
      <w:r w:rsidR="00D93C93">
        <w:t xml:space="preserve"> </w:t>
      </w:r>
      <w:r>
        <w:t>número de sujetos con muestras analizadas en la población evaluable de inmunogenicidad del subestudio de seguimiento a largo plazo.</w:t>
      </w:r>
    </w:p>
    <w:p w14:paraId="4FF4B720" w14:textId="316F358F" w:rsidR="00EC5413" w:rsidRDefault="00EC5413" w:rsidP="00CB06CB">
      <w:pPr>
        <w:pStyle w:val="Normal10pt0"/>
        <w:keepNext/>
        <w:ind w:left="284" w:hanging="284"/>
      </w:pPr>
      <w:r>
        <w:rPr>
          <w:rStyle w:val="Superscript"/>
        </w:rPr>
        <w:t>c</w:t>
      </w:r>
      <w:r>
        <w:rPr>
          <w:rStyle w:val="Superscript"/>
        </w:rPr>
        <w:tab/>
      </w:r>
      <w:r>
        <w:t>IC</w:t>
      </w:r>
      <w:r w:rsidR="00D93C93">
        <w:t xml:space="preserve"> </w:t>
      </w:r>
      <w:r>
        <w:t>=</w:t>
      </w:r>
      <w:r w:rsidR="00D93C93">
        <w:t xml:space="preserve"> </w:t>
      </w:r>
      <w:r>
        <w:t>intervalo de confianza.</w:t>
      </w:r>
    </w:p>
    <w:p w14:paraId="4FF4B721" w14:textId="77777777" w:rsidR="00EC5413" w:rsidRDefault="00EC5413"/>
    <w:p w14:paraId="4FF4B724" w14:textId="111D7904" w:rsidR="00EC5413" w:rsidRDefault="00EC5413">
      <w:r>
        <w:t xml:space="preserve">La Agencia Europea de Medicamentos ha </w:t>
      </w:r>
      <w:r w:rsidRPr="00EE3920">
        <w:t xml:space="preserve">concedido al titular un aplazamiento para </w:t>
      </w:r>
      <w:r>
        <w:t>presentar los resultados de los ensayos realizados con Vaxchora en uno o más grupos de la población pediátrica en la prevención del cólera (ver sección 4.2 para consultar la información sobre el uso en la población pediátrica).</w:t>
      </w:r>
    </w:p>
    <w:p w14:paraId="4FF4B725" w14:textId="77777777" w:rsidR="00EC5413" w:rsidRDefault="00EC5413"/>
    <w:p w14:paraId="4FF4B726" w14:textId="77777777" w:rsidR="00EC5413" w:rsidRDefault="00EC5413">
      <w:pPr>
        <w:pStyle w:val="Heading2"/>
      </w:pPr>
      <w:r>
        <w:t>5.2</w:t>
      </w:r>
      <w:r>
        <w:tab/>
        <w:t>Propiedades farmacocinéticas</w:t>
      </w:r>
    </w:p>
    <w:p w14:paraId="4FF4B727" w14:textId="77777777" w:rsidR="00EC5413" w:rsidRDefault="00EC5413">
      <w:pPr>
        <w:keepNext/>
      </w:pPr>
    </w:p>
    <w:p w14:paraId="4FF4B728" w14:textId="77777777" w:rsidR="00EC5413" w:rsidRDefault="00EC5413">
      <w:r>
        <w:t>No procede.</w:t>
      </w:r>
    </w:p>
    <w:p w14:paraId="4FF4B729" w14:textId="77777777" w:rsidR="00EC5413" w:rsidRDefault="00EC5413"/>
    <w:p w14:paraId="4FF4B72A" w14:textId="77777777" w:rsidR="00EC5413" w:rsidRDefault="00EC5413">
      <w:pPr>
        <w:pStyle w:val="Heading2"/>
      </w:pPr>
      <w:r>
        <w:t>5.3</w:t>
      </w:r>
      <w:r>
        <w:tab/>
        <w:t>Datos preclínicos sobre seguridad</w:t>
      </w:r>
    </w:p>
    <w:p w14:paraId="4FF4B72B" w14:textId="77777777" w:rsidR="00EC5413" w:rsidRDefault="00EC5413">
      <w:pPr>
        <w:keepNext/>
      </w:pPr>
    </w:p>
    <w:p w14:paraId="4FF4B72C" w14:textId="32B837AA" w:rsidR="00EC5413" w:rsidRDefault="00EC5413">
      <w:r>
        <w:t>No se dispone de datos preclínicos sobre seguridad de Vaxchora.</w:t>
      </w:r>
    </w:p>
    <w:p w14:paraId="4FF4B72D" w14:textId="77777777" w:rsidR="00EC5413" w:rsidRDefault="00EC5413"/>
    <w:p w14:paraId="4FF4B72E" w14:textId="77777777" w:rsidR="00EC5413" w:rsidRDefault="00EC5413"/>
    <w:p w14:paraId="4FF4B72F" w14:textId="77777777" w:rsidR="00EC5413" w:rsidRDefault="00EC5413">
      <w:pPr>
        <w:pStyle w:val="Heading1"/>
      </w:pPr>
      <w:r>
        <w:t>6.</w:t>
      </w:r>
      <w:r>
        <w:tab/>
        <w:t>DATOS FARMACÉUTICOS</w:t>
      </w:r>
    </w:p>
    <w:p w14:paraId="4FF4B730" w14:textId="77777777" w:rsidR="00EC5413" w:rsidRDefault="00EC5413">
      <w:pPr>
        <w:keepNext/>
      </w:pPr>
    </w:p>
    <w:p w14:paraId="4FF4B731" w14:textId="77777777" w:rsidR="00EC5413" w:rsidRDefault="00EC5413">
      <w:pPr>
        <w:pStyle w:val="Heading2"/>
      </w:pPr>
      <w:r>
        <w:t>6.1</w:t>
      </w:r>
      <w:r>
        <w:tab/>
        <w:t>Lista de excipientes</w:t>
      </w:r>
    </w:p>
    <w:p w14:paraId="4FF4B732" w14:textId="77777777" w:rsidR="00EC5413" w:rsidRDefault="00EC5413">
      <w:pPr>
        <w:keepNext/>
      </w:pPr>
    </w:p>
    <w:p w14:paraId="4FF4B733" w14:textId="603C4AD9" w:rsidR="00EC5413" w:rsidRPr="0079404B" w:rsidRDefault="00EC5413">
      <w:pPr>
        <w:pStyle w:val="HeadingStrongEmphasis"/>
        <w:rPr>
          <w:b w:val="0"/>
          <w:bCs w:val="0"/>
        </w:rPr>
      </w:pPr>
      <w:r w:rsidRPr="0079404B">
        <w:rPr>
          <w:b w:val="0"/>
          <w:bCs w:val="0"/>
        </w:rPr>
        <w:t>Polvo de la Solución Tampón, sobre</w:t>
      </w:r>
      <w:r>
        <w:rPr>
          <w:b w:val="0"/>
          <w:bCs w:val="0"/>
        </w:rPr>
        <w:t> </w:t>
      </w:r>
      <w:r w:rsidRPr="0079404B">
        <w:rPr>
          <w:b w:val="0"/>
          <w:bCs w:val="0"/>
        </w:rPr>
        <w:t>1:</w:t>
      </w:r>
    </w:p>
    <w:p w14:paraId="4FF4B734" w14:textId="04105BB9" w:rsidR="00EC5413" w:rsidRDefault="00EC5413">
      <w:pPr>
        <w:rPr>
          <w:lang w:val="pt-PT"/>
        </w:rPr>
      </w:pPr>
      <w:r>
        <w:rPr>
          <w:lang w:val="pt-PT"/>
        </w:rPr>
        <w:t>Bicarbonato de sodio</w:t>
      </w:r>
    </w:p>
    <w:p w14:paraId="4FF4B735" w14:textId="029B8979" w:rsidR="00EC5413" w:rsidRDefault="00EC5413">
      <w:pPr>
        <w:rPr>
          <w:lang w:val="pt-PT"/>
        </w:rPr>
      </w:pPr>
      <w:r>
        <w:rPr>
          <w:lang w:val="pt-PT"/>
        </w:rPr>
        <w:t>Carbonato de sodio</w:t>
      </w:r>
    </w:p>
    <w:p w14:paraId="4FF4B736" w14:textId="77777777" w:rsidR="00EC5413" w:rsidRDefault="00EC5413">
      <w:pPr>
        <w:rPr>
          <w:lang w:val="pt-PT"/>
        </w:rPr>
      </w:pPr>
      <w:r>
        <w:rPr>
          <w:lang w:val="pt-PT"/>
        </w:rPr>
        <w:t>Ácido ascórbico</w:t>
      </w:r>
    </w:p>
    <w:p w14:paraId="4FF4B737" w14:textId="77777777" w:rsidR="00EC5413" w:rsidRPr="0079404B" w:rsidRDefault="00EC5413">
      <w:r w:rsidRPr="0079404B">
        <w:t>Lactosa</w:t>
      </w:r>
    </w:p>
    <w:p w14:paraId="4FF4B738" w14:textId="77777777" w:rsidR="00EC5413" w:rsidRPr="0079404B" w:rsidRDefault="00EC5413"/>
    <w:p w14:paraId="4FF4B739" w14:textId="23F5A274" w:rsidR="00EC5413" w:rsidRPr="0079404B" w:rsidRDefault="00EC5413">
      <w:pPr>
        <w:pStyle w:val="HeadingStrongEmphasis"/>
        <w:rPr>
          <w:b w:val="0"/>
          <w:bCs w:val="0"/>
        </w:rPr>
      </w:pPr>
      <w:r w:rsidRPr="0079404B">
        <w:rPr>
          <w:b w:val="0"/>
          <w:bCs w:val="0"/>
        </w:rPr>
        <w:t>Principio activo, sobre</w:t>
      </w:r>
      <w:r>
        <w:rPr>
          <w:b w:val="0"/>
          <w:bCs w:val="0"/>
        </w:rPr>
        <w:t> </w:t>
      </w:r>
      <w:r w:rsidRPr="0079404B">
        <w:rPr>
          <w:b w:val="0"/>
          <w:bCs w:val="0"/>
        </w:rPr>
        <w:t>2:</w:t>
      </w:r>
    </w:p>
    <w:p w14:paraId="4FF4B73A" w14:textId="77777777" w:rsidR="00EC5413" w:rsidRDefault="00EC5413">
      <w:r>
        <w:t>Sacarosa</w:t>
      </w:r>
    </w:p>
    <w:p w14:paraId="4FF4B73B" w14:textId="77777777" w:rsidR="00EC5413" w:rsidRDefault="00EC5413">
      <w:r>
        <w:t>Caseína hidrolizada</w:t>
      </w:r>
    </w:p>
    <w:p w14:paraId="4FF4B73C" w14:textId="77777777" w:rsidR="00EC5413" w:rsidRDefault="00EC5413">
      <w:r>
        <w:t>Ácido ascórbico</w:t>
      </w:r>
    </w:p>
    <w:p w14:paraId="4FF4B73D" w14:textId="77777777" w:rsidR="00EC5413" w:rsidRDefault="00EC5413">
      <w:r>
        <w:t>Lactosa</w:t>
      </w:r>
    </w:p>
    <w:p w14:paraId="4FF4B73E" w14:textId="77777777" w:rsidR="00EC5413" w:rsidRDefault="00EC5413"/>
    <w:p w14:paraId="4FF4B73F" w14:textId="77777777" w:rsidR="00EC5413" w:rsidRDefault="00EC5413">
      <w:pPr>
        <w:pStyle w:val="Heading2"/>
      </w:pPr>
      <w:r>
        <w:t>6.2</w:t>
      </w:r>
      <w:r>
        <w:tab/>
        <w:t>Incompatibilidades</w:t>
      </w:r>
    </w:p>
    <w:p w14:paraId="4FF4B740" w14:textId="77777777" w:rsidR="00EC5413" w:rsidRDefault="00EC5413">
      <w:pPr>
        <w:keepNext/>
      </w:pPr>
    </w:p>
    <w:p w14:paraId="4FF4B741" w14:textId="77777777" w:rsidR="00EC5413" w:rsidRDefault="00EC5413">
      <w:r>
        <w:t>En ausencia de estudios de compatibilidad, esta vacuna no debe mezclarse con otros medicamentos.</w:t>
      </w:r>
    </w:p>
    <w:p w14:paraId="4FF4B742" w14:textId="77777777" w:rsidR="00EC5413" w:rsidRDefault="00EC5413"/>
    <w:p w14:paraId="4FF4B743" w14:textId="77777777" w:rsidR="00EC5413" w:rsidRDefault="00EC5413">
      <w:pPr>
        <w:pStyle w:val="Heading2"/>
      </w:pPr>
      <w:r>
        <w:t>6.3</w:t>
      </w:r>
      <w:r>
        <w:tab/>
        <w:t>Periodo de validez</w:t>
      </w:r>
    </w:p>
    <w:p w14:paraId="4FF4B744" w14:textId="77777777" w:rsidR="00EC5413" w:rsidRDefault="00EC5413">
      <w:pPr>
        <w:keepNext/>
      </w:pPr>
    </w:p>
    <w:p w14:paraId="4FF4B745" w14:textId="77777777" w:rsidR="00EC5413" w:rsidRDefault="00EC5413">
      <w:r>
        <w:t>18 meses.</w:t>
      </w:r>
    </w:p>
    <w:p w14:paraId="4FF4B746" w14:textId="77777777" w:rsidR="00EC5413" w:rsidRDefault="00EC5413"/>
    <w:p w14:paraId="4FF4B749" w14:textId="5FEE1A54" w:rsidR="00EC5413" w:rsidRDefault="00EC5413">
      <w:r>
        <w:t>Tras la reconstitución, la suspensión debe ingerirse en un plazo de 15 minutos.</w:t>
      </w:r>
    </w:p>
    <w:p w14:paraId="4FF4B74A" w14:textId="77777777" w:rsidR="00EC5413" w:rsidRDefault="00EC5413"/>
    <w:p w14:paraId="4FF4B74B" w14:textId="77777777" w:rsidR="00EC5413" w:rsidRDefault="00EC5413">
      <w:pPr>
        <w:pStyle w:val="Heading2"/>
      </w:pPr>
      <w:r>
        <w:t>6.4</w:t>
      </w:r>
      <w:r>
        <w:tab/>
        <w:t>Precauciones especiales de conservación</w:t>
      </w:r>
    </w:p>
    <w:p w14:paraId="4FF4B74C" w14:textId="77777777" w:rsidR="00EC5413" w:rsidRDefault="00EC5413">
      <w:pPr>
        <w:keepNext/>
      </w:pPr>
    </w:p>
    <w:p w14:paraId="4FF4B74D" w14:textId="62D99701" w:rsidR="00EC5413" w:rsidRDefault="00EC5413">
      <w:r>
        <w:t>Conservar en nevera (entre 2 °C y 8 °C).</w:t>
      </w:r>
    </w:p>
    <w:p w14:paraId="4FF4B74E" w14:textId="77777777" w:rsidR="00EC5413" w:rsidRDefault="00EC5413">
      <w:r>
        <w:t>Conservar en el embalaje original para protegerla de la luz y la humedad.</w:t>
      </w:r>
    </w:p>
    <w:p w14:paraId="4FF4B74F" w14:textId="5082E3E5" w:rsidR="00EC5413" w:rsidRPr="00EA6569" w:rsidRDefault="00EC5413" w:rsidP="006407ED">
      <w:r>
        <w:t>No exponer a temperaturas superiores a 25 °C. Los datos de estabilidad indican que los componentes de la vacuna son estables durante 12 horas cuando se conservan a temperaturas de entre 8 °C y</w:t>
      </w:r>
      <w:r w:rsidRPr="00E25405">
        <w:t xml:space="preserve"> </w:t>
      </w:r>
      <w:r>
        <w:t>25 </w:t>
      </w:r>
      <w:r w:rsidRPr="00E25405">
        <w:t>°C. A</w:t>
      </w:r>
      <w:r>
        <w:t>l final de este</w:t>
      </w:r>
      <w:r w:rsidRPr="00E25405">
        <w:t xml:space="preserve"> period</w:t>
      </w:r>
      <w:r>
        <w:t>o,</w:t>
      </w:r>
      <w:r w:rsidRPr="00E25405">
        <w:t xml:space="preserve"> </w:t>
      </w:r>
      <w:r>
        <w:t>Vaxchora debe utilizarse inmediatamente o</w:t>
      </w:r>
      <w:r w:rsidRPr="00E25405">
        <w:t xml:space="preserve"> </w:t>
      </w:r>
      <w:r>
        <w:t>desecharse</w:t>
      </w:r>
      <w:r w:rsidRPr="00E25405">
        <w:t xml:space="preserve">. </w:t>
      </w:r>
      <w:r w:rsidRPr="0079404B">
        <w:t xml:space="preserve">Estos datos tienen como fin orientar a los profesionales sanitarios solamente en caso de </w:t>
      </w:r>
      <w:r w:rsidR="00D00E92">
        <w:t>variaciones</w:t>
      </w:r>
      <w:r>
        <w:t xml:space="preserve"> de </w:t>
      </w:r>
      <w:r w:rsidRPr="0079404B">
        <w:t>temperatura</w:t>
      </w:r>
      <w:r>
        <w:t xml:space="preserve"> </w:t>
      </w:r>
      <w:r w:rsidRPr="00EA6569">
        <w:t>temporales.</w:t>
      </w:r>
    </w:p>
    <w:p w14:paraId="4FF4B751" w14:textId="77777777" w:rsidR="00EC5413" w:rsidRDefault="00EC5413">
      <w:r w:rsidRPr="00EE3920">
        <w:t>Para las condi</w:t>
      </w:r>
      <w:r>
        <w:t xml:space="preserve">ciones de conservación tras la </w:t>
      </w:r>
      <w:r w:rsidRPr="00EE3920">
        <w:t>reconstitución</w:t>
      </w:r>
      <w:r>
        <w:t xml:space="preserve"> del medicamento, ver sección </w:t>
      </w:r>
      <w:r w:rsidRPr="00EE3920">
        <w:t>6.3</w:t>
      </w:r>
      <w:r>
        <w:t>.</w:t>
      </w:r>
    </w:p>
    <w:p w14:paraId="4FF4B752" w14:textId="77777777" w:rsidR="00EC5413" w:rsidRPr="00284A57" w:rsidRDefault="00EC5413"/>
    <w:p w14:paraId="4FF4B753" w14:textId="77777777" w:rsidR="00EC5413" w:rsidRDefault="00EC5413">
      <w:pPr>
        <w:pStyle w:val="Heading2"/>
      </w:pPr>
      <w:r>
        <w:lastRenderedPageBreak/>
        <w:t>6.5</w:t>
      </w:r>
      <w:r>
        <w:tab/>
        <w:t>Naturaleza y contenido del envase</w:t>
      </w:r>
    </w:p>
    <w:p w14:paraId="4FF4B754" w14:textId="77777777" w:rsidR="00EC5413" w:rsidRDefault="00EC5413">
      <w:pPr>
        <w:keepNext/>
      </w:pPr>
    </w:p>
    <w:p w14:paraId="4FF4B755" w14:textId="77777777" w:rsidR="00EC5413" w:rsidRDefault="00EC5413">
      <w:r>
        <w:t>Caja de cartón que contiene un sobre con un principio activo y un sobre con el tampón.</w:t>
      </w:r>
    </w:p>
    <w:p w14:paraId="4FF4B756" w14:textId="77777777" w:rsidR="00EC5413" w:rsidRDefault="00EC5413">
      <w:r>
        <w:t>El sobre del principio activo contiene 2 g de polvo para suspensión oral.</w:t>
      </w:r>
    </w:p>
    <w:p w14:paraId="4FF4B757" w14:textId="77777777" w:rsidR="00EC5413" w:rsidRDefault="00EC5413">
      <w:r>
        <w:t>El sobre del tampón contiene 4,5 g de polvo efervescente.</w:t>
      </w:r>
    </w:p>
    <w:p w14:paraId="4FF4B758" w14:textId="77777777" w:rsidR="00EC5413" w:rsidRDefault="00EC5413">
      <w:r>
        <w:t>El sobre del principio activo se compone de una lámina de cuatro capas que contiene una capa exterior de papel, una capa de polietileno de baja densidad, una capa de lámina de aluminio y una capa interior de polietileno de baja densidad.</w:t>
      </w:r>
    </w:p>
    <w:p w14:paraId="4FF4B759" w14:textId="77777777" w:rsidR="00EC5413" w:rsidRDefault="00EC5413">
      <w:r>
        <w:t>El sobre del tampón se compone de una lámina de tres capas que contiene una capa exterior de papel, una capa intermedia de lámina de aluminio y una capa interior de polietileno de baja densidad.</w:t>
      </w:r>
    </w:p>
    <w:p w14:paraId="4FF4B75A" w14:textId="77777777" w:rsidR="00EC5413" w:rsidRDefault="00EC5413"/>
    <w:p w14:paraId="4FF4B75B" w14:textId="3E6C7B23" w:rsidR="00EC5413" w:rsidRDefault="00EC5413">
      <w:r>
        <w:t>Tamaño de envase: 1 juego de 2 sobres. Una dosis está constituida por 2 sobres (1 sobre del principio activo y 1 sobre del tampón).</w:t>
      </w:r>
    </w:p>
    <w:p w14:paraId="4FF4B75C" w14:textId="77777777" w:rsidR="00EC5413" w:rsidRDefault="00EC5413"/>
    <w:p w14:paraId="4FF4B75D" w14:textId="7F29654A" w:rsidR="00EC5413" w:rsidRDefault="00EC5413">
      <w:pPr>
        <w:pStyle w:val="Heading2"/>
      </w:pPr>
      <w:r>
        <w:t>6.6</w:t>
      </w:r>
      <w:r>
        <w:tab/>
        <w:t>Precauciones especiales de eliminación y otras manipulaciones</w:t>
      </w:r>
    </w:p>
    <w:p w14:paraId="4FF4B75E" w14:textId="77777777" w:rsidR="00EC5413" w:rsidRDefault="00EC5413">
      <w:pPr>
        <w:keepNext/>
      </w:pPr>
    </w:p>
    <w:p w14:paraId="4FF4B75F" w14:textId="77777777" w:rsidR="00EC5413" w:rsidRDefault="00EC5413">
      <w:r>
        <w:t xml:space="preserve">Este medicamento contiene organismos modificados genéticamente. La eliminación del medicamento no utilizado </w:t>
      </w:r>
      <w:r w:rsidRPr="00EE3920">
        <w:t>y de todos los materiales que hayan estado en contacto con él</w:t>
      </w:r>
      <w:r>
        <w:t xml:space="preserve"> se realizará de acuerdo con las directrices locales en materia de bioseguridad.</w:t>
      </w:r>
    </w:p>
    <w:p w14:paraId="4FF4B760" w14:textId="77777777" w:rsidR="00EC5413" w:rsidRDefault="00EC5413"/>
    <w:p w14:paraId="4FF4B761" w14:textId="721FC23D" w:rsidR="00EC5413" w:rsidRDefault="00EC5413">
      <w:r>
        <w:t>Para preparar la vacuna para la administración, el sobre del principio activo y del tampón se retiran de la nevera como máximo 12 horas a 25 °C antes de la reconstitución.</w:t>
      </w:r>
    </w:p>
    <w:p w14:paraId="4FF4B762" w14:textId="20189DF9" w:rsidR="00EC5413" w:rsidRDefault="00EC5413">
      <w:r>
        <w:t>Es importante mezclar los sobres en el orden descrito. En primer lugar, se mezcla el contenido del sobre 1 del tampón (un polvo de blanco a blanquecino) con 100 ml de agua con o sin gas embotellada fría o a temperatura ambiente (≤</w:t>
      </w:r>
      <w:r w:rsidR="00DE6906">
        <w:t> </w:t>
      </w:r>
      <w:r>
        <w:t>25 °C) en un vaso. Para niños de 2 años a 6 años, se debe desechar SOLO la mitad (50 mL) de la solución tampón antes de pasar al próximo paso. En segundo lugar, se añade el contenido del sobre 2 del principio activo (polvo de blanco a bei</w:t>
      </w:r>
      <w:r w:rsidR="00E53E62">
        <w:t>ge</w:t>
      </w:r>
      <w:r>
        <w:t xml:space="preserve">) y se remueve la mezcla durante 30 segundos como mínimo. La vacuna reconstituida forma una suspensión ligeramente turbia que pude contener algunas partículas blancas. Luego, la sacarosa (hasta 4 g por cucharadita) o el endulzante con stevia (no más de 1 gramo por </w:t>
      </w:r>
      <w:r w:rsidRPr="00915112">
        <w:t>¼</w:t>
      </w:r>
      <w:r>
        <w:t xml:space="preserve"> cucharadita) se puede mezclar en la suspensión, si se desea. NO agregue otros endulzantes ya que puede disminuir la efectividad de la vacuna. La dosis debe administrarse en un plazo de 15 minutos tras la reconstitución. Puede quedar algún residuo en el vaso. El vaso se debe lavar con agua caliente y jabón.</w:t>
      </w:r>
    </w:p>
    <w:p w14:paraId="4FF4B763" w14:textId="77777777" w:rsidR="00EC5413" w:rsidRDefault="00EC5413"/>
    <w:p w14:paraId="4FF4B764" w14:textId="77777777" w:rsidR="00EC5413" w:rsidRDefault="00EC5413">
      <w:r>
        <w:t>Nota: Si los sobres se reconstituyen en el orden incorrecto, la vacuna deberá desecharse.</w:t>
      </w:r>
    </w:p>
    <w:p w14:paraId="4FF4B765" w14:textId="77777777" w:rsidR="00EC5413" w:rsidRDefault="00EC5413"/>
    <w:p w14:paraId="4FF4B766" w14:textId="77777777" w:rsidR="00EC5413" w:rsidRDefault="00EC5413"/>
    <w:p w14:paraId="4FF4B767" w14:textId="77777777" w:rsidR="00EC5413" w:rsidRDefault="00EC5413">
      <w:pPr>
        <w:pStyle w:val="Heading1"/>
      </w:pPr>
      <w:r>
        <w:t>7.</w:t>
      </w:r>
      <w:r>
        <w:tab/>
        <w:t>TITULAR DE LA AUTORIZACIÓN DE COMERCIALIZACIÓN</w:t>
      </w:r>
    </w:p>
    <w:p w14:paraId="4FF4B768" w14:textId="77777777" w:rsidR="00EC5413" w:rsidRDefault="00EC5413">
      <w:pPr>
        <w:keepNext/>
      </w:pPr>
    </w:p>
    <w:p w14:paraId="4FF4B769" w14:textId="77777777" w:rsidR="00EC5413" w:rsidRPr="00C82CAD" w:rsidRDefault="00EC5413">
      <w:pPr>
        <w:rPr>
          <w:lang w:val="en-GB"/>
        </w:rPr>
      </w:pPr>
      <w:r w:rsidRPr="00C82CAD">
        <w:rPr>
          <w:lang w:val="en-GB"/>
        </w:rPr>
        <w:t>Bavarian Nordic A/S</w:t>
      </w:r>
    </w:p>
    <w:p w14:paraId="4FF4B76A" w14:textId="6B711E3D" w:rsidR="00EC5413" w:rsidRPr="00C82CAD" w:rsidRDefault="00EC5413">
      <w:pPr>
        <w:rPr>
          <w:lang w:val="en-GB"/>
        </w:rPr>
      </w:pPr>
      <w:r w:rsidRPr="00C82CAD">
        <w:rPr>
          <w:lang w:val="en-GB"/>
        </w:rPr>
        <w:t>Philip Heymans Alle</w:t>
      </w:r>
      <w:r>
        <w:rPr>
          <w:lang w:val="en-GB"/>
        </w:rPr>
        <w:t> </w:t>
      </w:r>
      <w:r w:rsidRPr="00C82CAD">
        <w:rPr>
          <w:lang w:val="en-GB"/>
        </w:rPr>
        <w:t>3</w:t>
      </w:r>
    </w:p>
    <w:p w14:paraId="4FF4B76B" w14:textId="7AFEB457" w:rsidR="00EC5413" w:rsidRDefault="00EC5413">
      <w:r>
        <w:t>DK</w:t>
      </w:r>
      <w:r>
        <w:noBreakHyphen/>
        <w:t>2900 Hellerup</w:t>
      </w:r>
    </w:p>
    <w:p w14:paraId="4FF4B76C" w14:textId="77777777" w:rsidR="00EC5413" w:rsidRDefault="00EC5413" w:rsidP="00D25AFA">
      <w:r>
        <w:t>Dinamarca</w:t>
      </w:r>
    </w:p>
    <w:p w14:paraId="4FF4B76D" w14:textId="77777777" w:rsidR="00EC5413" w:rsidRDefault="00EC5413"/>
    <w:p w14:paraId="4FF4B76E" w14:textId="77777777" w:rsidR="00EC5413" w:rsidRDefault="00EC5413"/>
    <w:p w14:paraId="4FF4B76F" w14:textId="77777777" w:rsidR="00EC5413" w:rsidRDefault="00EC5413">
      <w:pPr>
        <w:pStyle w:val="Heading1"/>
      </w:pPr>
      <w:r>
        <w:t>8.</w:t>
      </w:r>
      <w:r>
        <w:tab/>
        <w:t>NÚMERO(S) DE AUTORIZACIÓN DE COMERCIALIZACIÓN</w:t>
      </w:r>
    </w:p>
    <w:p w14:paraId="4FF4B770" w14:textId="77777777" w:rsidR="00EC5413" w:rsidRDefault="00EC5413">
      <w:pPr>
        <w:keepNext/>
      </w:pPr>
    </w:p>
    <w:p w14:paraId="4FF4B771" w14:textId="77777777" w:rsidR="00EC5413" w:rsidRDefault="00EC5413">
      <w:r>
        <w:t>EU/1/20/1423/001</w:t>
      </w:r>
    </w:p>
    <w:p w14:paraId="4FF4B772" w14:textId="77777777" w:rsidR="00EC5413" w:rsidRDefault="00EC5413"/>
    <w:p w14:paraId="4FF4B773" w14:textId="77777777" w:rsidR="00EC5413" w:rsidRDefault="00EC5413"/>
    <w:p w14:paraId="4FF4B774" w14:textId="77777777" w:rsidR="00EC5413" w:rsidRDefault="00EC5413">
      <w:pPr>
        <w:pStyle w:val="Heading1"/>
      </w:pPr>
      <w:r>
        <w:t>9.</w:t>
      </w:r>
      <w:r>
        <w:tab/>
        <w:t>FECHA DE LA PRIMERA AUTORIZACIÓN/RENOVACIÓN DE LA AUTORIZACIÓN</w:t>
      </w:r>
    </w:p>
    <w:p w14:paraId="4FF4B775" w14:textId="77777777" w:rsidR="00EC5413" w:rsidRDefault="00EC5413">
      <w:pPr>
        <w:keepNext/>
      </w:pPr>
    </w:p>
    <w:p w14:paraId="4FF4B776" w14:textId="77777777" w:rsidR="00EC5413" w:rsidRDefault="00EC5413">
      <w:r>
        <w:t>Fecha de la primera autorización: 01/abril/2020</w:t>
      </w:r>
    </w:p>
    <w:p w14:paraId="4FF4B777" w14:textId="547D09D0" w:rsidR="00EC5413" w:rsidRDefault="00EC5413">
      <w:r>
        <w:t>Fecha de la última renovación:</w:t>
      </w:r>
      <w:r w:rsidR="00850BB2">
        <w:t xml:space="preserve"> 13/</w:t>
      </w:r>
      <w:r w:rsidR="00D478CA">
        <w:t>e</w:t>
      </w:r>
      <w:r w:rsidR="00850BB2">
        <w:t>nero/2025</w:t>
      </w:r>
    </w:p>
    <w:p w14:paraId="4FF4B778" w14:textId="77777777" w:rsidR="00EC5413" w:rsidRDefault="00EC5413"/>
    <w:p w14:paraId="4FF4B779" w14:textId="77777777" w:rsidR="00EC5413" w:rsidRDefault="00EC5413"/>
    <w:p w14:paraId="4FF4B77A" w14:textId="77777777" w:rsidR="00EC5413" w:rsidRDefault="00EC5413">
      <w:pPr>
        <w:pStyle w:val="Heading1"/>
      </w:pPr>
      <w:r>
        <w:lastRenderedPageBreak/>
        <w:t>10.</w:t>
      </w:r>
      <w:r>
        <w:tab/>
        <w:t>FECHA DE LA REVISIÓN DEL TEXTO</w:t>
      </w:r>
    </w:p>
    <w:p w14:paraId="4FF4B77B" w14:textId="77777777" w:rsidR="00EC5413" w:rsidRDefault="00EC5413">
      <w:pPr>
        <w:keepNext/>
      </w:pPr>
    </w:p>
    <w:p w14:paraId="3500109A" w14:textId="3536417A" w:rsidR="00D478CA" w:rsidRDefault="00D478CA">
      <w:pPr>
        <w:keepNext/>
      </w:pPr>
      <w:r>
        <w:t>13/enero/2025</w:t>
      </w:r>
    </w:p>
    <w:p w14:paraId="66005127" w14:textId="77777777" w:rsidR="00D478CA" w:rsidRDefault="00D478CA">
      <w:pPr>
        <w:keepNext/>
      </w:pPr>
    </w:p>
    <w:p w14:paraId="4FF4B77E" w14:textId="77777777" w:rsidR="00EC5413" w:rsidRDefault="00EC5413">
      <w:r>
        <w:t xml:space="preserve">La información detallada de este medicamento está disponible en la página web de la Agencia Europea de Medicamentos </w:t>
      </w:r>
      <w:hyperlink r:id="rId9" w:history="1">
        <w:r w:rsidRPr="00BC00DE">
          <w:rPr>
            <w:rStyle w:val="Hyperlink"/>
            <w:lang w:eastAsia="es-ES"/>
          </w:rPr>
          <w:t>https://www.ema.europa.eu</w:t>
        </w:r>
      </w:hyperlink>
      <w:r>
        <w:t>.</w:t>
      </w:r>
    </w:p>
    <w:p w14:paraId="4FF4B77F" w14:textId="77777777" w:rsidR="00EC5413" w:rsidRDefault="00EC5413">
      <w:r>
        <w:br w:type="page"/>
      </w:r>
    </w:p>
    <w:p w14:paraId="4FF4B780" w14:textId="77777777" w:rsidR="00EC5413" w:rsidRDefault="00EC5413"/>
    <w:p w14:paraId="4FF4B781" w14:textId="77777777" w:rsidR="00EC5413" w:rsidRDefault="00EC5413"/>
    <w:p w14:paraId="4FF4B782" w14:textId="77777777" w:rsidR="00EC5413" w:rsidRDefault="00EC5413"/>
    <w:p w14:paraId="4FF4B783" w14:textId="77777777" w:rsidR="00EC5413" w:rsidRDefault="00EC5413"/>
    <w:p w14:paraId="4FF4B784" w14:textId="77777777" w:rsidR="00EC5413" w:rsidRDefault="00EC5413"/>
    <w:p w14:paraId="4FF4B785" w14:textId="77777777" w:rsidR="00EC5413" w:rsidRDefault="00EC5413"/>
    <w:p w14:paraId="4FF4B786" w14:textId="77777777" w:rsidR="00EC5413" w:rsidRDefault="00EC5413"/>
    <w:p w14:paraId="4FF4B787" w14:textId="77777777" w:rsidR="00EC5413" w:rsidRDefault="00EC5413"/>
    <w:p w14:paraId="4FF4B788" w14:textId="77777777" w:rsidR="00EC5413" w:rsidRDefault="00EC5413"/>
    <w:p w14:paraId="4FF4B789" w14:textId="77777777" w:rsidR="00EC5413" w:rsidRDefault="00EC5413"/>
    <w:p w14:paraId="4FF4B78A" w14:textId="77777777" w:rsidR="00EC5413" w:rsidRDefault="00EC5413"/>
    <w:p w14:paraId="4FF4B78B" w14:textId="77777777" w:rsidR="00EC5413" w:rsidRDefault="00EC5413"/>
    <w:p w14:paraId="4FF4B78C" w14:textId="77777777" w:rsidR="00EC5413" w:rsidRDefault="00EC5413"/>
    <w:p w14:paraId="4FF4B78D" w14:textId="77777777" w:rsidR="00EC5413" w:rsidRDefault="00EC5413"/>
    <w:p w14:paraId="4FF4B78E" w14:textId="77777777" w:rsidR="00EC5413" w:rsidRDefault="00EC5413"/>
    <w:p w14:paraId="4FF4B78F" w14:textId="77777777" w:rsidR="00EC5413" w:rsidRDefault="00EC5413"/>
    <w:p w14:paraId="4FF4B790" w14:textId="77777777" w:rsidR="00EC5413" w:rsidRDefault="00EC5413"/>
    <w:p w14:paraId="4FF4B791" w14:textId="77777777" w:rsidR="00EC5413" w:rsidRDefault="00EC5413"/>
    <w:p w14:paraId="4FF4B792" w14:textId="77777777" w:rsidR="00EC5413" w:rsidRDefault="00EC5413"/>
    <w:p w14:paraId="4FF4B793" w14:textId="77777777" w:rsidR="00EC5413" w:rsidRDefault="00EC5413"/>
    <w:p w14:paraId="4FF4B794" w14:textId="77777777" w:rsidR="00EC5413" w:rsidRDefault="00EC5413"/>
    <w:p w14:paraId="4FF4B795" w14:textId="77777777" w:rsidR="00EC5413" w:rsidRDefault="00EC5413"/>
    <w:p w14:paraId="4FF4B796" w14:textId="77777777" w:rsidR="00EC5413" w:rsidRDefault="00EC5413">
      <w:pPr>
        <w:pStyle w:val="Title"/>
      </w:pPr>
      <w:r>
        <w:t>ANEXO II</w:t>
      </w:r>
    </w:p>
    <w:p w14:paraId="4FF4B797" w14:textId="77777777" w:rsidR="00EC5413" w:rsidRDefault="00EC5413"/>
    <w:p w14:paraId="4FF4B798" w14:textId="77777777" w:rsidR="00EC5413" w:rsidRDefault="00EC5413">
      <w:pPr>
        <w:pStyle w:val="Heading1Indent"/>
      </w:pPr>
      <w:r>
        <w:t>A.</w:t>
      </w:r>
      <w:r>
        <w:tab/>
        <w:t>FABRICANTE(S) DEL (DE LOS) PRINCIPIO(S) ACTIVO(S) BIOLÓGICO(S) Y FABRICANTE(S) RESPONSABLE(S) DE LA LIBERACIÓN DE LOS LOTES</w:t>
      </w:r>
    </w:p>
    <w:p w14:paraId="4FF4B799" w14:textId="77777777" w:rsidR="00EC5413" w:rsidRDefault="00EC5413"/>
    <w:p w14:paraId="4FF4B79A" w14:textId="77777777" w:rsidR="00EC5413" w:rsidRDefault="00EC5413">
      <w:pPr>
        <w:pStyle w:val="Heading1Indent"/>
      </w:pPr>
      <w:r>
        <w:t>B.</w:t>
      </w:r>
      <w:r>
        <w:tab/>
        <w:t>CONDICIONES O RESTRICCIONES DE SUMINISTRO Y USO</w:t>
      </w:r>
    </w:p>
    <w:p w14:paraId="4FF4B79B" w14:textId="77777777" w:rsidR="00EC5413" w:rsidRDefault="00EC5413"/>
    <w:p w14:paraId="4FF4B79C" w14:textId="77777777" w:rsidR="00EC5413" w:rsidRDefault="00EC5413">
      <w:pPr>
        <w:pStyle w:val="Heading1Indent"/>
      </w:pPr>
      <w:r>
        <w:t>C.</w:t>
      </w:r>
      <w:r>
        <w:tab/>
        <w:t>OTRAS CONDICIONES Y REQUISITOS DE LA AUTORIZACIÓN DE COMERCIALIZACIÓN</w:t>
      </w:r>
    </w:p>
    <w:p w14:paraId="4FF4B79D" w14:textId="77777777" w:rsidR="00EC5413" w:rsidRDefault="00EC5413"/>
    <w:p w14:paraId="4FF4B79E" w14:textId="77777777" w:rsidR="00EC5413" w:rsidRDefault="00EC5413">
      <w:pPr>
        <w:pStyle w:val="Heading1Indent"/>
      </w:pPr>
      <w:r>
        <w:t>D.</w:t>
      </w:r>
      <w:r>
        <w:tab/>
        <w:t>CONDICIONES O RESTRICCIONES EN RELACIÓN CON LA UTILIZACIÓN SEGURA Y EFICAZ DEL MEDICAMENTO</w:t>
      </w:r>
    </w:p>
    <w:p w14:paraId="4FF4B79F" w14:textId="77777777" w:rsidR="00EC5413" w:rsidRDefault="00EC5413"/>
    <w:p w14:paraId="4FF4B7A0" w14:textId="77777777" w:rsidR="00EC5413" w:rsidRDefault="00EC5413">
      <w:pPr>
        <w:pStyle w:val="TitleB"/>
      </w:pPr>
      <w:r>
        <w:br w:type="page"/>
      </w:r>
      <w:r>
        <w:lastRenderedPageBreak/>
        <w:t>A.</w:t>
      </w:r>
      <w:r>
        <w:tab/>
        <w:t>FABRICANTE(S) DEL (DE LOS) PRINCIPIO(S) ACTIVO(S) BIOLÓGICO(S) Y FABRICANTE(S) RESPONSABLE(S) DE LA LIBERACIÓN DE LOS LOTES</w:t>
      </w:r>
    </w:p>
    <w:p w14:paraId="4FF4B7A1" w14:textId="77777777" w:rsidR="00EC5413" w:rsidRDefault="00EC5413"/>
    <w:p w14:paraId="4FF4B7A2" w14:textId="77777777" w:rsidR="00EC5413" w:rsidRDefault="00EC5413">
      <w:pPr>
        <w:pStyle w:val="HeadingUnderlined"/>
      </w:pPr>
      <w:r>
        <w:t>Nombre y dirección del (de los) fabricante(s) del (de los) principio(s) activo(s) biológico(s)</w:t>
      </w:r>
    </w:p>
    <w:p w14:paraId="4FF4B7A3" w14:textId="77777777" w:rsidR="00EC5413" w:rsidRDefault="00EC5413"/>
    <w:p w14:paraId="4FF4B7A4" w14:textId="77777777" w:rsidR="00EC5413" w:rsidRPr="001550F0" w:rsidRDefault="00EC5413">
      <w:r w:rsidRPr="001550F0">
        <w:t>Bavarian Nordic Berna GmbH</w:t>
      </w:r>
    </w:p>
    <w:p w14:paraId="4FF4B7A5" w14:textId="3A9FA6E5" w:rsidR="00EC5413" w:rsidRPr="001550F0" w:rsidRDefault="00EC5413">
      <w:r w:rsidRPr="001550F0">
        <w:t>Oberriedstrasse 68</w:t>
      </w:r>
    </w:p>
    <w:p w14:paraId="4FF4B7A6" w14:textId="387770BA" w:rsidR="00EC5413" w:rsidRPr="001550F0" w:rsidRDefault="00EC5413">
      <w:r w:rsidRPr="001550F0">
        <w:t>CH</w:t>
      </w:r>
      <w:r w:rsidRPr="001550F0">
        <w:noBreakHyphen/>
        <w:t>3174 Thörishaus</w:t>
      </w:r>
    </w:p>
    <w:p w14:paraId="4FF4B7A7" w14:textId="77777777" w:rsidR="00EC5413" w:rsidRDefault="00EC5413">
      <w:r>
        <w:t>Suiza</w:t>
      </w:r>
    </w:p>
    <w:p w14:paraId="4FF4B7A8" w14:textId="77777777" w:rsidR="00EC5413" w:rsidRDefault="00EC5413"/>
    <w:p w14:paraId="4FF4B7A9" w14:textId="77777777" w:rsidR="00EC5413" w:rsidRDefault="00EC5413">
      <w:pPr>
        <w:pStyle w:val="HeadingUnderlined"/>
      </w:pPr>
      <w:r>
        <w:t>Nombre y dirección del (de los) fabricante(s) responsable(s) de la liberación de los lotes</w:t>
      </w:r>
    </w:p>
    <w:p w14:paraId="4FF4B7AA" w14:textId="77777777" w:rsidR="00EC5413" w:rsidRDefault="00EC5413"/>
    <w:p w14:paraId="4FF4B7AB" w14:textId="592C71BA" w:rsidR="00EC5413" w:rsidRPr="008C209B" w:rsidRDefault="00EC5413">
      <w:pPr>
        <w:rPr>
          <w:lang w:val="fr-CH"/>
        </w:rPr>
      </w:pPr>
      <w:r w:rsidRPr="008C209B">
        <w:rPr>
          <w:lang w:val="fr-CH"/>
        </w:rPr>
        <w:t>IL</w:t>
      </w:r>
      <w:r>
        <w:rPr>
          <w:lang w:val="fr-CH"/>
        </w:rPr>
        <w:noBreakHyphen/>
      </w:r>
      <w:r w:rsidRPr="008C209B">
        <w:rPr>
          <w:lang w:val="fr-CH"/>
        </w:rPr>
        <w:t>CSM GmbH</w:t>
      </w:r>
    </w:p>
    <w:p w14:paraId="4FF4B7AC" w14:textId="02071929" w:rsidR="00EC5413" w:rsidRPr="008C209B" w:rsidRDefault="00EC5413">
      <w:pPr>
        <w:rPr>
          <w:lang w:val="fr-CH"/>
        </w:rPr>
      </w:pPr>
      <w:r w:rsidRPr="008C209B">
        <w:rPr>
          <w:lang w:val="fr-CH"/>
        </w:rPr>
        <w:t>Marie</w:t>
      </w:r>
      <w:r>
        <w:rPr>
          <w:lang w:val="fr-CH"/>
        </w:rPr>
        <w:noBreakHyphen/>
      </w:r>
      <w:r w:rsidRPr="008C209B">
        <w:rPr>
          <w:lang w:val="fr-CH"/>
        </w:rPr>
        <w:t>Curie</w:t>
      </w:r>
      <w:r>
        <w:rPr>
          <w:lang w:val="fr-CH"/>
        </w:rPr>
        <w:noBreakHyphen/>
      </w:r>
      <w:r w:rsidRPr="008C209B">
        <w:rPr>
          <w:lang w:val="fr-CH"/>
        </w:rPr>
        <w:t>Strasse</w:t>
      </w:r>
      <w:r>
        <w:rPr>
          <w:lang w:val="fr-CH"/>
        </w:rPr>
        <w:t> </w:t>
      </w:r>
      <w:r w:rsidRPr="008C209B">
        <w:rPr>
          <w:lang w:val="fr-CH"/>
        </w:rPr>
        <w:t>8</w:t>
      </w:r>
    </w:p>
    <w:p w14:paraId="4FF4B7AD" w14:textId="655CFE61" w:rsidR="00EC5413" w:rsidRPr="00EF696C" w:rsidRDefault="00EC5413">
      <w:r w:rsidRPr="00EF696C">
        <w:t>D</w:t>
      </w:r>
      <w:r w:rsidRPr="0079404B">
        <w:noBreakHyphen/>
      </w:r>
      <w:r w:rsidRPr="00EF696C">
        <w:t>79539</w:t>
      </w:r>
      <w:r w:rsidRPr="0079404B">
        <w:t> </w:t>
      </w:r>
      <w:r w:rsidRPr="00EF696C">
        <w:t>Lörrach</w:t>
      </w:r>
    </w:p>
    <w:p w14:paraId="4FF4B7AE" w14:textId="77777777" w:rsidR="00EC5413" w:rsidRPr="000B48E7" w:rsidRDefault="00EC5413">
      <w:r w:rsidRPr="000B48E7">
        <w:t>Alemania</w:t>
      </w:r>
    </w:p>
    <w:p w14:paraId="4FF4B7AF" w14:textId="77777777" w:rsidR="00EC5413" w:rsidRDefault="00EC5413"/>
    <w:p w14:paraId="4FF4B7B2" w14:textId="77777777" w:rsidR="00EC5413" w:rsidRDefault="00EC5413"/>
    <w:p w14:paraId="4FF4B7B3" w14:textId="77777777" w:rsidR="00EC5413" w:rsidRDefault="00EC5413">
      <w:pPr>
        <w:pStyle w:val="TitleB"/>
      </w:pPr>
      <w:r>
        <w:t>B.</w:t>
      </w:r>
      <w:r>
        <w:tab/>
        <w:t>CONDICIONES O RESTRICCIONES DE SUMINISTRO Y USO</w:t>
      </w:r>
    </w:p>
    <w:p w14:paraId="4FF4B7B4" w14:textId="77777777" w:rsidR="00EC5413" w:rsidRDefault="00EC5413"/>
    <w:p w14:paraId="4FF4B7B5" w14:textId="77777777" w:rsidR="00EC5413" w:rsidRDefault="00EC5413">
      <w:r>
        <w:t>Medicamento sujeto a prescripción médica.</w:t>
      </w:r>
    </w:p>
    <w:p w14:paraId="4FF4B7B6" w14:textId="77777777" w:rsidR="00EC5413" w:rsidRDefault="00EC5413"/>
    <w:p w14:paraId="4FF4B7B7" w14:textId="77777777" w:rsidR="00EC5413" w:rsidRDefault="00EC5413">
      <w:pPr>
        <w:pStyle w:val="Bullet"/>
        <w:numPr>
          <w:ilvl w:val="0"/>
          <w:numId w:val="22"/>
        </w:numPr>
        <w:rPr>
          <w:rStyle w:val="Strong"/>
        </w:rPr>
      </w:pPr>
      <w:r>
        <w:rPr>
          <w:rStyle w:val="Strong"/>
        </w:rPr>
        <w:t>Liberación oficial de los lotes</w:t>
      </w:r>
    </w:p>
    <w:p w14:paraId="4FF4B7B8" w14:textId="77777777" w:rsidR="00EC5413" w:rsidRDefault="00EC5413"/>
    <w:p w14:paraId="4FF4B7B9" w14:textId="73DAACC7" w:rsidR="00EC5413" w:rsidRDefault="00EC5413">
      <w:r>
        <w:t>De conformidad con el Artículo 114 de la Directiva 2001/83/CE modificada, la liberación oficial de los lotes será realizada por un laboratorio estatal o uno designado a tal efecto.</w:t>
      </w:r>
    </w:p>
    <w:p w14:paraId="4FF4B7BA" w14:textId="77777777" w:rsidR="00EC5413" w:rsidRDefault="00EC5413"/>
    <w:p w14:paraId="4FF4B7BB" w14:textId="77777777" w:rsidR="00EC5413" w:rsidRDefault="00EC5413"/>
    <w:p w14:paraId="4FF4B7BC" w14:textId="77777777" w:rsidR="00EC5413" w:rsidRDefault="00EC5413">
      <w:pPr>
        <w:pStyle w:val="TitleB"/>
      </w:pPr>
      <w:r>
        <w:t>C.</w:t>
      </w:r>
      <w:r>
        <w:tab/>
        <w:t>OTRAS CONDICIONES Y REQUISITOS DE LA AUTORIZACIÓN DE COMERCIALIZACIÓN</w:t>
      </w:r>
    </w:p>
    <w:p w14:paraId="4FF4B7BD" w14:textId="77777777" w:rsidR="00EC5413" w:rsidRDefault="00EC5413"/>
    <w:p w14:paraId="4FF4B7BE" w14:textId="77777777" w:rsidR="00EC5413" w:rsidRDefault="00EC5413">
      <w:pPr>
        <w:pStyle w:val="Bullet"/>
        <w:numPr>
          <w:ilvl w:val="0"/>
          <w:numId w:val="22"/>
        </w:numPr>
        <w:rPr>
          <w:rStyle w:val="Strong"/>
        </w:rPr>
      </w:pPr>
      <w:r>
        <w:rPr>
          <w:rStyle w:val="Strong"/>
        </w:rPr>
        <w:t>Informes periódicos de seguridad (IPSs)</w:t>
      </w:r>
    </w:p>
    <w:p w14:paraId="4FF4B7BF" w14:textId="77777777" w:rsidR="00EC5413" w:rsidRDefault="00EC5413"/>
    <w:p w14:paraId="4FF4B7C0" w14:textId="0E1EF2EA" w:rsidR="00EC5413" w:rsidRDefault="00EC5413">
      <w:r>
        <w:t>Los requerimientos para la presentación de los IPSs para este medicamento se establecen en la lista de fechas de referencia de la Unión (lista EURD) prevista en el artículo 107quater, apartado 7, de la Directiva 2001/83/CE y cualquier actualización posterior publicada en el portal web europeo sobre medicamentos.</w:t>
      </w:r>
    </w:p>
    <w:p w14:paraId="4FF4B7C1" w14:textId="77777777" w:rsidR="00EC5413" w:rsidRDefault="00EC5413"/>
    <w:p w14:paraId="4FF4B7C4" w14:textId="77777777" w:rsidR="00EC5413" w:rsidRDefault="00EC5413"/>
    <w:p w14:paraId="4FF4B7C5" w14:textId="77777777" w:rsidR="00EC5413" w:rsidRDefault="00EC5413">
      <w:pPr>
        <w:pStyle w:val="TitleB"/>
      </w:pPr>
      <w:r>
        <w:t>D.</w:t>
      </w:r>
      <w:r>
        <w:tab/>
        <w:t>CONDICIONES O RESTRICCIONES EN RELACIÓN CON LA UTILIZACIÓN SEGURA Y EFICAZ DEL MEDICAMENTO</w:t>
      </w:r>
    </w:p>
    <w:p w14:paraId="4FF4B7C6" w14:textId="77777777" w:rsidR="00EC5413" w:rsidRDefault="00EC5413">
      <w:pPr>
        <w:keepNext/>
      </w:pPr>
    </w:p>
    <w:p w14:paraId="4FF4B7C7" w14:textId="77777777" w:rsidR="00EC5413" w:rsidRDefault="00EC5413">
      <w:pPr>
        <w:pStyle w:val="Bullet"/>
        <w:keepNext/>
        <w:numPr>
          <w:ilvl w:val="0"/>
          <w:numId w:val="22"/>
        </w:numPr>
        <w:rPr>
          <w:rStyle w:val="Strong"/>
          <w:b w:val="0"/>
          <w:bCs w:val="0"/>
        </w:rPr>
      </w:pPr>
      <w:r>
        <w:rPr>
          <w:rStyle w:val="Strong"/>
        </w:rPr>
        <w:t>Plan de gestión de riesgos (PGR)</w:t>
      </w:r>
    </w:p>
    <w:p w14:paraId="4FF4B7C8" w14:textId="77777777" w:rsidR="00EC5413" w:rsidRDefault="00EC5413">
      <w:pPr>
        <w:keepNext/>
      </w:pPr>
    </w:p>
    <w:p w14:paraId="4FF4B7C9" w14:textId="40CF9709" w:rsidR="00EC5413" w:rsidRDefault="00EC5413">
      <w:r>
        <w:t>El titular de la autorización de comercialización (TAC) realizará las actividades e intervenciones de farmacovigilancia necesarias según lo acordado en la versión del PGR incluido en el Módulo 1.8.2 de la autorización de comercialización y en cualquier actualización del PGR que se acuerde posteriormente.</w:t>
      </w:r>
    </w:p>
    <w:p w14:paraId="4FF4B7CA" w14:textId="77777777" w:rsidR="00EC5413" w:rsidRDefault="00EC5413"/>
    <w:p w14:paraId="4FF4B7CB" w14:textId="77777777" w:rsidR="00EC5413" w:rsidRDefault="00EC5413">
      <w:r>
        <w:t>Se debe presentar un PGR actualizado:</w:t>
      </w:r>
    </w:p>
    <w:p w14:paraId="4FF4B7CC" w14:textId="77777777" w:rsidR="00EC5413" w:rsidRDefault="00EC5413">
      <w:pPr>
        <w:pStyle w:val="Bullet"/>
        <w:numPr>
          <w:ilvl w:val="0"/>
          <w:numId w:val="22"/>
        </w:numPr>
      </w:pPr>
      <w:r>
        <w:t>A petición de la Agencia Europea de Medicamentos.</w:t>
      </w:r>
    </w:p>
    <w:p w14:paraId="4FF4B7CD" w14:textId="77777777" w:rsidR="00EC5413" w:rsidRDefault="00EC5413">
      <w:pPr>
        <w:pStyle w:val="Bullet"/>
        <w:numPr>
          <w:ilvl w:val="0"/>
          <w:numId w:val="22"/>
        </w:numPr>
      </w:pPr>
      <w: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4FF4B7CE" w14:textId="77777777" w:rsidR="00EC5413" w:rsidRDefault="00EC5413"/>
    <w:p w14:paraId="4FF4B7CF" w14:textId="77777777" w:rsidR="00EC5413" w:rsidRDefault="00EC5413">
      <w:pPr>
        <w:pStyle w:val="Bullet"/>
        <w:numPr>
          <w:ilvl w:val="0"/>
          <w:numId w:val="22"/>
        </w:numPr>
        <w:rPr>
          <w:rStyle w:val="Strong"/>
        </w:rPr>
      </w:pPr>
      <w:r>
        <w:rPr>
          <w:rStyle w:val="Strong"/>
        </w:rPr>
        <w:t>Medidas adicionales de minimización de riesgos</w:t>
      </w:r>
    </w:p>
    <w:p w14:paraId="4FF4B7D0" w14:textId="77777777" w:rsidR="00EC5413" w:rsidRDefault="00EC5413"/>
    <w:p w14:paraId="4FF4B7D1" w14:textId="76E21034" w:rsidR="00EC5413" w:rsidRDefault="00EC5413">
      <w:r>
        <w:t xml:space="preserve">Antes del lanzamiento de Vaxchora en cada uno de los Estados miembros, el titular de la autorización de comercialización (TAC) debe acordar el contenido y el formato del programa </w:t>
      </w:r>
      <w:r w:rsidR="00EF0E6D">
        <w:t>informativo</w:t>
      </w:r>
      <w:r>
        <w:t>, incluidos los medios de comunicación, las modalidades de distribución y cualquier otro aspecto del programa, con la autoridad competente a nivel nacional.</w:t>
      </w:r>
    </w:p>
    <w:p w14:paraId="4FF4B7D2" w14:textId="77777777" w:rsidR="00EC5413" w:rsidRDefault="00EC5413"/>
    <w:p w14:paraId="4FF4B7D3" w14:textId="59949639" w:rsidR="00EC5413" w:rsidRDefault="00EC5413">
      <w:r>
        <w:t xml:space="preserve">El programa </w:t>
      </w:r>
      <w:r w:rsidR="00D00E92">
        <w:t xml:space="preserve">informativo </w:t>
      </w:r>
      <w:r>
        <w:t>está dirigido a minimizar el riesgo de errores durante la reconstitución y el uso del medicamento.</w:t>
      </w:r>
    </w:p>
    <w:p w14:paraId="4FF4B7D4" w14:textId="77777777" w:rsidR="00EC5413" w:rsidRDefault="00EC5413"/>
    <w:p w14:paraId="4FF4B7D5" w14:textId="2A3379AC" w:rsidR="00EC5413" w:rsidRDefault="00EC5413">
      <w:r>
        <w:t xml:space="preserve">En cada Estado miembro donde se comercialice la vacuna, el TAC debe garantizar que todos los profesionales sanitarios y pacientes o cuidadores que se prevé que prescriban o usen esta vacuna reciban o tengan acceso al siguiente material </w:t>
      </w:r>
      <w:r w:rsidR="00905A23">
        <w:t>informativo</w:t>
      </w:r>
      <w:r>
        <w:t>:</w:t>
      </w:r>
    </w:p>
    <w:p w14:paraId="4FF4B7D6" w14:textId="77777777" w:rsidR="00EC5413" w:rsidRDefault="00EC5413"/>
    <w:p w14:paraId="4FF4B7D7" w14:textId="1B6FDC0C" w:rsidR="00EC5413" w:rsidRDefault="00EC5413">
      <w:pPr>
        <w:pStyle w:val="Bullet"/>
        <w:numPr>
          <w:ilvl w:val="0"/>
          <w:numId w:val="22"/>
        </w:numPr>
      </w:pPr>
      <w:r>
        <w:t xml:space="preserve">Material </w:t>
      </w:r>
      <w:r w:rsidR="00905A23">
        <w:t>informativo</w:t>
      </w:r>
      <w:r>
        <w:t xml:space="preserve"> para el profesional sanitario</w:t>
      </w:r>
    </w:p>
    <w:p w14:paraId="4FF4B7D8" w14:textId="77777777" w:rsidR="00EC5413" w:rsidRDefault="00EC5413">
      <w:pPr>
        <w:pStyle w:val="Bullet"/>
        <w:numPr>
          <w:ilvl w:val="0"/>
          <w:numId w:val="22"/>
        </w:numPr>
      </w:pPr>
      <w:r>
        <w:t>Material informativo para el paciente</w:t>
      </w:r>
    </w:p>
    <w:p w14:paraId="4FF4B7D9" w14:textId="77777777" w:rsidR="00EC5413" w:rsidRDefault="00EC5413"/>
    <w:p w14:paraId="4FF4B7DA" w14:textId="2D59695D" w:rsidR="00EC5413" w:rsidRDefault="00EC5413">
      <w:pPr>
        <w:pStyle w:val="HeadingStrong"/>
      </w:pPr>
      <w:r>
        <w:t xml:space="preserve">Material </w:t>
      </w:r>
      <w:r w:rsidR="00905A23">
        <w:t>informativo</w:t>
      </w:r>
      <w:r>
        <w:t xml:space="preserve"> para el profesional de atención médica:</w:t>
      </w:r>
    </w:p>
    <w:p w14:paraId="4FF4B7DB" w14:textId="77777777" w:rsidR="00EC5413" w:rsidRDefault="00EC5413">
      <w:pPr>
        <w:pStyle w:val="Bullet"/>
        <w:numPr>
          <w:ilvl w:val="0"/>
          <w:numId w:val="22"/>
        </w:numPr>
      </w:pPr>
      <w:r>
        <w:t>Ficha técnica o resumen de las características del producto</w:t>
      </w:r>
    </w:p>
    <w:p w14:paraId="4FF4B7DC" w14:textId="77777777" w:rsidR="00EC5413" w:rsidRDefault="00EC5413">
      <w:pPr>
        <w:pStyle w:val="Bullet"/>
        <w:numPr>
          <w:ilvl w:val="0"/>
          <w:numId w:val="22"/>
        </w:numPr>
      </w:pPr>
      <w:r>
        <w:t>Guía para profesionales sanitarios</w:t>
      </w:r>
    </w:p>
    <w:p w14:paraId="4FF4B7DD" w14:textId="77777777" w:rsidR="00EC5413" w:rsidRDefault="00EC5413">
      <w:pPr>
        <w:pStyle w:val="Bullet"/>
        <w:numPr>
          <w:ilvl w:val="0"/>
          <w:numId w:val="22"/>
        </w:numPr>
      </w:pPr>
      <w:r>
        <w:t>Guía para pacientes</w:t>
      </w:r>
    </w:p>
    <w:p w14:paraId="4FF4B7DE" w14:textId="77777777" w:rsidR="00EC5413" w:rsidRDefault="00EC5413" w:rsidP="00CB06CB">
      <w:pPr>
        <w:pStyle w:val="Bullet"/>
        <w:numPr>
          <w:ilvl w:val="0"/>
          <w:numId w:val="0"/>
        </w:numPr>
        <w:ind w:left="562"/>
      </w:pPr>
    </w:p>
    <w:p w14:paraId="4FF4B7DF" w14:textId="77777777" w:rsidR="00EC5413" w:rsidRDefault="00EC5413">
      <w:pPr>
        <w:pStyle w:val="Bullet"/>
        <w:numPr>
          <w:ilvl w:val="0"/>
          <w:numId w:val="22"/>
        </w:numPr>
        <w:rPr>
          <w:rStyle w:val="Strong"/>
        </w:rPr>
      </w:pPr>
      <w:r>
        <w:rPr>
          <w:rStyle w:val="Strong"/>
        </w:rPr>
        <w:t>Mensajes principales en la guía para profesionales sanitarios:</w:t>
      </w:r>
    </w:p>
    <w:p w14:paraId="4FF4B7E0" w14:textId="5A2BE6AE" w:rsidR="00EC5413" w:rsidRDefault="00EC5413" w:rsidP="00CB06CB">
      <w:pPr>
        <w:pStyle w:val="Bullet2"/>
        <w:numPr>
          <w:ilvl w:val="0"/>
          <w:numId w:val="42"/>
        </w:numPr>
      </w:pPr>
      <w:r>
        <w:t>Que existe un riesgo potencial importante de errores de medicación durante la reconstitución y el uso de la vacuna</w:t>
      </w:r>
    </w:p>
    <w:p w14:paraId="4FF4B7E1" w14:textId="77777777" w:rsidR="00EC5413" w:rsidRDefault="00EC5413" w:rsidP="00CB06CB">
      <w:pPr>
        <w:pStyle w:val="Bullet2"/>
        <w:numPr>
          <w:ilvl w:val="0"/>
          <w:numId w:val="42"/>
        </w:numPr>
      </w:pPr>
      <w:r>
        <w:t>Que existe un riesgo potencial de errores de medicación cuando se prepara la vacuna y se la suministra a niños de entre 2 y &lt; 6 años</w:t>
      </w:r>
    </w:p>
    <w:p w14:paraId="4FF4B7E2" w14:textId="77777777" w:rsidR="00EC5413" w:rsidRDefault="00EC5413" w:rsidP="00CB06CB">
      <w:pPr>
        <w:pStyle w:val="Bullet2"/>
        <w:numPr>
          <w:ilvl w:val="0"/>
          <w:numId w:val="42"/>
        </w:numPr>
      </w:pPr>
      <w:r>
        <w:t>Los pacientes y cuidadores deben ser informados sobre la reconstitución y deben seguir las instrucciones que se aconsejan</w:t>
      </w:r>
    </w:p>
    <w:p w14:paraId="4FF4B7E3" w14:textId="613D8F81" w:rsidR="00EC5413" w:rsidRDefault="00EC5413" w:rsidP="00CB06CB">
      <w:pPr>
        <w:pStyle w:val="Bullet2"/>
        <w:numPr>
          <w:ilvl w:val="0"/>
          <w:numId w:val="42"/>
        </w:numPr>
      </w:pPr>
      <w:r>
        <w:t>Los profesionales sanitarios deben asesorar a los pacientes y a sus cuidadores sobre la manera de reconstituir y administrar la vacuna</w:t>
      </w:r>
    </w:p>
    <w:p w14:paraId="4FF4B7E4" w14:textId="11B73017" w:rsidR="00EC5413" w:rsidRDefault="00EC5413" w:rsidP="00CB06CB">
      <w:pPr>
        <w:pStyle w:val="Bullet2"/>
        <w:numPr>
          <w:ilvl w:val="0"/>
          <w:numId w:val="42"/>
        </w:numPr>
      </w:pPr>
      <w:r>
        <w:t>Descripción detallada de los procedimientos de administración de la vacuna</w:t>
      </w:r>
    </w:p>
    <w:p w14:paraId="4FF4B7E5" w14:textId="77777777" w:rsidR="00EC5413" w:rsidRDefault="00EC5413"/>
    <w:p w14:paraId="4FF4B7E6" w14:textId="77777777" w:rsidR="00EC5413" w:rsidRDefault="00EC5413">
      <w:pPr>
        <w:pStyle w:val="HeadingStrong"/>
      </w:pPr>
      <w:r>
        <w:t>Material informativo para el paciente:</w:t>
      </w:r>
    </w:p>
    <w:p w14:paraId="4FF4B7E7" w14:textId="77777777" w:rsidR="00EC5413" w:rsidRDefault="00EC5413" w:rsidP="00CB06CB">
      <w:pPr>
        <w:pStyle w:val="Bullet2"/>
        <w:numPr>
          <w:ilvl w:val="0"/>
          <w:numId w:val="43"/>
        </w:numPr>
      </w:pPr>
      <w:r>
        <w:t>Prospecto informativo para el paciente</w:t>
      </w:r>
    </w:p>
    <w:p w14:paraId="4FF4B7E8" w14:textId="77777777" w:rsidR="00EC5413" w:rsidRDefault="00EC5413" w:rsidP="00CB06CB">
      <w:pPr>
        <w:pStyle w:val="Bullet2"/>
        <w:numPr>
          <w:ilvl w:val="0"/>
          <w:numId w:val="43"/>
        </w:numPr>
      </w:pPr>
      <w:r>
        <w:t>Guía para pacientes y cuidadores</w:t>
      </w:r>
    </w:p>
    <w:p w14:paraId="4FF4B7E9" w14:textId="77777777" w:rsidR="00EC5413" w:rsidRDefault="00EC5413">
      <w:pPr>
        <w:pStyle w:val="Bullet"/>
        <w:numPr>
          <w:ilvl w:val="0"/>
          <w:numId w:val="22"/>
        </w:numPr>
        <w:rPr>
          <w:rStyle w:val="Strong"/>
        </w:rPr>
      </w:pPr>
      <w:r>
        <w:rPr>
          <w:rStyle w:val="Strong"/>
        </w:rPr>
        <w:t>Mensajes principales en la guía para pacientes o cuidadores:</w:t>
      </w:r>
    </w:p>
    <w:p w14:paraId="4FF4B7EA" w14:textId="3BBCAF3C" w:rsidR="00EC5413" w:rsidRDefault="00EC5413" w:rsidP="00CB06CB">
      <w:pPr>
        <w:pStyle w:val="Bullet2"/>
        <w:numPr>
          <w:ilvl w:val="0"/>
          <w:numId w:val="44"/>
        </w:numPr>
      </w:pPr>
      <w:r>
        <w:t>La importancia de que la vacuna se reconstituya y administre como se recomienda</w:t>
      </w:r>
    </w:p>
    <w:p w14:paraId="4FF4B7EB" w14:textId="77777777" w:rsidR="00EC5413" w:rsidRPr="009A4FD9" w:rsidRDefault="00EC5413" w:rsidP="00CB06CB">
      <w:pPr>
        <w:pStyle w:val="Bullet2"/>
        <w:numPr>
          <w:ilvl w:val="0"/>
          <w:numId w:val="44"/>
        </w:numPr>
      </w:pPr>
      <w:r>
        <w:t>Se debe prestar mayor atención a las instrucciones al preparar y administrar la vacuna a niños de entre 2 y &lt; 6 años de edad</w:t>
      </w:r>
    </w:p>
    <w:p w14:paraId="4FF4B7EC" w14:textId="509B5235" w:rsidR="00EC5413" w:rsidRDefault="00EC5413" w:rsidP="00CB06CB">
      <w:pPr>
        <w:pStyle w:val="Bullet2"/>
        <w:numPr>
          <w:ilvl w:val="0"/>
          <w:numId w:val="44"/>
        </w:numPr>
      </w:pPr>
      <w:r w:rsidRPr="009A4FD9">
        <w:t>Descr</w:t>
      </w:r>
      <w:r>
        <w:t>ipción detallada de las modalidades utilizadas para la autoadministración de la vacuna</w:t>
      </w:r>
    </w:p>
    <w:p w14:paraId="4FF4B7ED" w14:textId="77777777" w:rsidR="00EC5413" w:rsidRDefault="00EC5413" w:rsidP="00CB06CB">
      <w:pPr>
        <w:pStyle w:val="Bullet2"/>
        <w:numPr>
          <w:ilvl w:val="0"/>
          <w:numId w:val="44"/>
        </w:numPr>
      </w:pPr>
      <w:r>
        <w:t>La importancia de notificar los errores de medicación</w:t>
      </w:r>
    </w:p>
    <w:p w14:paraId="4FF4B7EE" w14:textId="77777777" w:rsidR="00EC5413" w:rsidRDefault="00EC5413"/>
    <w:p w14:paraId="4FF4B7EF" w14:textId="77777777" w:rsidR="00EC5413" w:rsidRDefault="00EC5413">
      <w:r>
        <w:br w:type="page"/>
      </w:r>
    </w:p>
    <w:p w14:paraId="4FF4B7F0" w14:textId="77777777" w:rsidR="00EC5413" w:rsidRDefault="00EC5413"/>
    <w:p w14:paraId="4FF4B7F1" w14:textId="77777777" w:rsidR="00EC5413" w:rsidRDefault="00EC5413"/>
    <w:p w14:paraId="4FF4B7F2" w14:textId="77777777" w:rsidR="00EC5413" w:rsidRDefault="00EC5413"/>
    <w:p w14:paraId="4FF4B7F3" w14:textId="77777777" w:rsidR="00EC5413" w:rsidRDefault="00EC5413"/>
    <w:p w14:paraId="4FF4B7F4" w14:textId="77777777" w:rsidR="00EC5413" w:rsidRDefault="00EC5413"/>
    <w:p w14:paraId="4FF4B7F5" w14:textId="77777777" w:rsidR="00EC5413" w:rsidRDefault="00EC5413"/>
    <w:p w14:paraId="4FF4B7F6" w14:textId="77777777" w:rsidR="00EC5413" w:rsidRDefault="00EC5413"/>
    <w:p w14:paraId="4FF4B7F7" w14:textId="77777777" w:rsidR="00EC5413" w:rsidRDefault="00EC5413"/>
    <w:p w14:paraId="4FF4B7F8" w14:textId="77777777" w:rsidR="00EC5413" w:rsidRDefault="00EC5413"/>
    <w:p w14:paraId="4FF4B7F9" w14:textId="77777777" w:rsidR="00EC5413" w:rsidRDefault="00EC5413"/>
    <w:p w14:paraId="4FF4B7FA" w14:textId="77777777" w:rsidR="00EC5413" w:rsidRDefault="00EC5413"/>
    <w:p w14:paraId="4FF4B7FB" w14:textId="77777777" w:rsidR="00EC5413" w:rsidRDefault="00EC5413"/>
    <w:p w14:paraId="4FF4B7FC" w14:textId="77777777" w:rsidR="00EC5413" w:rsidRDefault="00EC5413"/>
    <w:p w14:paraId="4FF4B7FD" w14:textId="77777777" w:rsidR="00EC5413" w:rsidRDefault="00EC5413"/>
    <w:p w14:paraId="4FF4B7FE" w14:textId="77777777" w:rsidR="00EC5413" w:rsidRDefault="00EC5413"/>
    <w:p w14:paraId="4FF4B7FF" w14:textId="77777777" w:rsidR="00EC5413" w:rsidRDefault="00EC5413"/>
    <w:p w14:paraId="4FF4B800" w14:textId="77777777" w:rsidR="00EC5413" w:rsidRDefault="00EC5413"/>
    <w:p w14:paraId="4FF4B801" w14:textId="77777777" w:rsidR="00EC5413" w:rsidRDefault="00EC5413"/>
    <w:p w14:paraId="4FF4B802" w14:textId="77777777" w:rsidR="00EC5413" w:rsidRDefault="00EC5413"/>
    <w:p w14:paraId="4FF4B803" w14:textId="77777777" w:rsidR="00EC5413" w:rsidRDefault="00EC5413"/>
    <w:p w14:paraId="4FF4B804" w14:textId="77777777" w:rsidR="00EC5413" w:rsidRDefault="00EC5413"/>
    <w:p w14:paraId="4FF4B805" w14:textId="77777777" w:rsidR="00EC5413" w:rsidRDefault="00EC5413"/>
    <w:p w14:paraId="4FF4B806" w14:textId="77777777" w:rsidR="00EC5413" w:rsidRPr="000A0553" w:rsidRDefault="00EC5413" w:rsidP="0079404B">
      <w:pPr>
        <w:jc w:val="center"/>
      </w:pPr>
      <w:r w:rsidRPr="0079404B">
        <w:rPr>
          <w:b/>
          <w:bCs/>
        </w:rPr>
        <w:t>ANEXO III</w:t>
      </w:r>
    </w:p>
    <w:p w14:paraId="4FF4B807" w14:textId="77777777" w:rsidR="00EC5413" w:rsidRDefault="00EC5413"/>
    <w:p w14:paraId="4FF4B808" w14:textId="77777777" w:rsidR="00EC5413" w:rsidRDefault="00EC5413">
      <w:pPr>
        <w:pStyle w:val="Title"/>
      </w:pPr>
      <w:r>
        <w:t>ETIQUETADO Y PROSPECTO</w:t>
      </w:r>
    </w:p>
    <w:p w14:paraId="4FF4B809" w14:textId="77777777" w:rsidR="00EC5413" w:rsidRDefault="00EC5413">
      <w:r>
        <w:br w:type="page"/>
      </w:r>
    </w:p>
    <w:p w14:paraId="4FF4B80A" w14:textId="77777777" w:rsidR="00EC5413" w:rsidRDefault="00EC5413"/>
    <w:p w14:paraId="4FF4B80B" w14:textId="77777777" w:rsidR="00EC5413" w:rsidRDefault="00EC5413"/>
    <w:p w14:paraId="4FF4B80C" w14:textId="77777777" w:rsidR="00EC5413" w:rsidRDefault="00EC5413"/>
    <w:p w14:paraId="4FF4B80D" w14:textId="77777777" w:rsidR="00EC5413" w:rsidRDefault="00EC5413"/>
    <w:p w14:paraId="4FF4B80E" w14:textId="77777777" w:rsidR="00EC5413" w:rsidRDefault="00EC5413"/>
    <w:p w14:paraId="4FF4B80F" w14:textId="77777777" w:rsidR="00EC5413" w:rsidRDefault="00EC5413"/>
    <w:p w14:paraId="4FF4B810" w14:textId="77777777" w:rsidR="00EC5413" w:rsidRDefault="00EC5413"/>
    <w:p w14:paraId="4FF4B811" w14:textId="77777777" w:rsidR="00EC5413" w:rsidRDefault="00EC5413"/>
    <w:p w14:paraId="4FF4B812" w14:textId="77777777" w:rsidR="00EC5413" w:rsidRDefault="00EC5413"/>
    <w:p w14:paraId="4FF4B813" w14:textId="77777777" w:rsidR="00EC5413" w:rsidRDefault="00EC5413"/>
    <w:p w14:paraId="4FF4B814" w14:textId="77777777" w:rsidR="00EC5413" w:rsidRDefault="00EC5413"/>
    <w:p w14:paraId="4FF4B815" w14:textId="77777777" w:rsidR="00EC5413" w:rsidRDefault="00EC5413"/>
    <w:p w14:paraId="4FF4B816" w14:textId="77777777" w:rsidR="00EC5413" w:rsidRDefault="00EC5413"/>
    <w:p w14:paraId="4FF4B817" w14:textId="77777777" w:rsidR="00EC5413" w:rsidRDefault="00EC5413"/>
    <w:p w14:paraId="4FF4B818" w14:textId="77777777" w:rsidR="00EC5413" w:rsidRDefault="00EC5413"/>
    <w:p w14:paraId="4FF4B819" w14:textId="77777777" w:rsidR="00EC5413" w:rsidRDefault="00EC5413"/>
    <w:p w14:paraId="4FF4B81A" w14:textId="77777777" w:rsidR="00EC5413" w:rsidRDefault="00EC5413"/>
    <w:p w14:paraId="4FF4B81B" w14:textId="77777777" w:rsidR="00EC5413" w:rsidRDefault="00EC5413"/>
    <w:p w14:paraId="4FF4B81C" w14:textId="77777777" w:rsidR="00EC5413" w:rsidRDefault="00EC5413"/>
    <w:p w14:paraId="4FF4B81D" w14:textId="77777777" w:rsidR="00EC5413" w:rsidRDefault="00EC5413"/>
    <w:p w14:paraId="4FF4B81E" w14:textId="77777777" w:rsidR="00EC5413" w:rsidRDefault="00EC5413"/>
    <w:p w14:paraId="4FF4B81F" w14:textId="77777777" w:rsidR="00EC5413" w:rsidRDefault="00EC5413"/>
    <w:p w14:paraId="4FF4B820" w14:textId="77777777" w:rsidR="00EC5413" w:rsidRDefault="00EC5413">
      <w:pPr>
        <w:pStyle w:val="TitleA"/>
      </w:pPr>
      <w:r>
        <w:t>A. ETIQUETADO</w:t>
      </w:r>
    </w:p>
    <w:p w14:paraId="4FF4B821" w14:textId="77777777" w:rsidR="00EC5413" w:rsidRDefault="00EC5413"/>
    <w:p w14:paraId="4FF4B822" w14:textId="77777777" w:rsidR="00EC5413" w:rsidRDefault="00EC5413"/>
    <w:p w14:paraId="4FF4B823" w14:textId="77777777" w:rsidR="00EC5413" w:rsidRDefault="00EC5413">
      <w:pPr>
        <w:pStyle w:val="HeadingStrLAB"/>
      </w:pPr>
      <w:r>
        <w:br w:type="page"/>
      </w:r>
      <w:r>
        <w:lastRenderedPageBreak/>
        <w:t>INFORMACIÓN QUE DEBE FIGURAR EN EL EMBALAJE EXTERIOR</w:t>
      </w:r>
    </w:p>
    <w:p w14:paraId="4FF4B824" w14:textId="77777777" w:rsidR="00EC5413" w:rsidRDefault="00EC5413">
      <w:pPr>
        <w:pStyle w:val="HeadingStrLAB"/>
      </w:pPr>
    </w:p>
    <w:p w14:paraId="4FF4B825" w14:textId="77777777" w:rsidR="00EC5413" w:rsidRDefault="00EC5413">
      <w:pPr>
        <w:pStyle w:val="HeadingStrLAB"/>
      </w:pPr>
      <w:r>
        <w:t>Caja de cartón individual</w:t>
      </w:r>
    </w:p>
    <w:p w14:paraId="4FF4B826" w14:textId="77777777" w:rsidR="00EC5413" w:rsidRDefault="00EC5413"/>
    <w:p w14:paraId="4FF4B827" w14:textId="77777777" w:rsidR="00EC5413" w:rsidRDefault="00EC5413"/>
    <w:p w14:paraId="4FF4B828" w14:textId="77777777" w:rsidR="00EC5413" w:rsidRDefault="00EC5413">
      <w:pPr>
        <w:pStyle w:val="Heading1LAB"/>
      </w:pPr>
      <w:r>
        <w:t>1.</w:t>
      </w:r>
      <w:r>
        <w:tab/>
        <w:t>NOMBRE DEL MEDICAMENTO</w:t>
      </w:r>
    </w:p>
    <w:p w14:paraId="4FF4B829" w14:textId="77777777" w:rsidR="00EC5413" w:rsidRDefault="00EC5413">
      <w:pPr>
        <w:keepNext/>
      </w:pPr>
    </w:p>
    <w:p w14:paraId="4FF4B82A" w14:textId="77777777" w:rsidR="00EC5413" w:rsidRDefault="00EC5413">
      <w:r>
        <w:t>Vaxchora</w:t>
      </w:r>
    </w:p>
    <w:p w14:paraId="4FF4B82B" w14:textId="77777777" w:rsidR="00EC5413" w:rsidRDefault="00EC5413">
      <w:r>
        <w:t>Polvo efervescente y polvo para suspensión oral</w:t>
      </w:r>
    </w:p>
    <w:p w14:paraId="4FF4B82C" w14:textId="77777777" w:rsidR="00EC5413" w:rsidRPr="00CB06CB" w:rsidRDefault="00EC5413">
      <w:r w:rsidRPr="00CB06CB">
        <w:t>Vacuna frente al cólera (recombinante, viva, oral)</w:t>
      </w:r>
    </w:p>
    <w:p w14:paraId="4FF4B82D" w14:textId="77777777" w:rsidR="00EC5413" w:rsidRPr="00CB06CB" w:rsidRDefault="00EC5413"/>
    <w:p w14:paraId="4FF4B82E" w14:textId="77777777" w:rsidR="00EC5413" w:rsidRPr="00CB06CB" w:rsidRDefault="00EC5413"/>
    <w:p w14:paraId="4FF4B82F" w14:textId="77777777" w:rsidR="00EC5413" w:rsidRPr="00CB06CB" w:rsidRDefault="00EC5413">
      <w:pPr>
        <w:pStyle w:val="Heading1LAB"/>
      </w:pPr>
      <w:r w:rsidRPr="00CB06CB">
        <w:t>2.</w:t>
      </w:r>
      <w:r w:rsidRPr="00CB06CB">
        <w:tab/>
        <w:t>PRINCIPIO(S) ACTIVO(S)</w:t>
      </w:r>
    </w:p>
    <w:p w14:paraId="4FF4B830" w14:textId="77777777" w:rsidR="00EC5413" w:rsidRPr="00CB06CB" w:rsidRDefault="00EC5413">
      <w:pPr>
        <w:keepNext/>
      </w:pPr>
    </w:p>
    <w:p w14:paraId="4FF4B831" w14:textId="49C5BC16" w:rsidR="00EC5413" w:rsidRDefault="00EC5413">
      <w:r>
        <w:t>De 4 × 10</w:t>
      </w:r>
      <w:r>
        <w:rPr>
          <w:rStyle w:val="Superscript"/>
        </w:rPr>
        <w:t>8</w:t>
      </w:r>
      <w:r>
        <w:t xml:space="preserve"> a 2 × 10</w:t>
      </w:r>
      <w:r>
        <w:rPr>
          <w:rStyle w:val="Superscript"/>
        </w:rPr>
        <w:t>9</w:t>
      </w:r>
      <w:r>
        <w:t> células viables de la cepa CVD 103</w:t>
      </w:r>
      <w:r>
        <w:noBreakHyphen/>
        <w:t xml:space="preserve">HgR de </w:t>
      </w:r>
      <w:r>
        <w:rPr>
          <w:rStyle w:val="Emphasis"/>
        </w:rPr>
        <w:t>Vibrio</w:t>
      </w:r>
      <w:r>
        <w:t xml:space="preserve"> </w:t>
      </w:r>
      <w:r>
        <w:rPr>
          <w:rStyle w:val="Emphasis"/>
        </w:rPr>
        <w:t>cholerae</w:t>
      </w:r>
      <w:r>
        <w:t>.</w:t>
      </w:r>
    </w:p>
    <w:p w14:paraId="4FF4B832" w14:textId="77777777" w:rsidR="00EC5413" w:rsidRDefault="00EC5413"/>
    <w:p w14:paraId="4FF4B833" w14:textId="77777777" w:rsidR="00EC5413" w:rsidRDefault="00EC5413"/>
    <w:p w14:paraId="4FF4B834" w14:textId="77777777" w:rsidR="00EC5413" w:rsidRDefault="00EC5413">
      <w:pPr>
        <w:pStyle w:val="Heading1LAB"/>
      </w:pPr>
      <w:r>
        <w:t>3.</w:t>
      </w:r>
      <w:r>
        <w:tab/>
        <w:t>LISTA DE EXCIPIENTES</w:t>
      </w:r>
    </w:p>
    <w:p w14:paraId="4FF4B835" w14:textId="77777777" w:rsidR="00EC5413" w:rsidRDefault="00EC5413">
      <w:pPr>
        <w:keepNext/>
      </w:pPr>
    </w:p>
    <w:p w14:paraId="4FF4B836" w14:textId="2E234130" w:rsidR="00EC5413" w:rsidRDefault="00EC5413">
      <w:r>
        <w:t xml:space="preserve">Contiene sacarosa, lactosa y sodio. </w:t>
      </w:r>
      <w:r w:rsidR="00D00E92">
        <w:rPr>
          <w:highlight w:val="lightGray"/>
        </w:rPr>
        <w:t xml:space="preserve">Para mayor información consultar </w:t>
      </w:r>
      <w:r w:rsidRPr="00532772">
        <w:rPr>
          <w:highlight w:val="lightGray"/>
        </w:rPr>
        <w:t>el prospecto.</w:t>
      </w:r>
    </w:p>
    <w:p w14:paraId="4FF4B837" w14:textId="77777777" w:rsidR="00EC5413" w:rsidRDefault="00EC5413"/>
    <w:p w14:paraId="4FF4B838" w14:textId="77777777" w:rsidR="00EC5413" w:rsidRDefault="00EC5413"/>
    <w:p w14:paraId="4FF4B839" w14:textId="77777777" w:rsidR="00EC5413" w:rsidRDefault="00EC5413">
      <w:pPr>
        <w:pStyle w:val="Heading1LAB"/>
      </w:pPr>
      <w:r>
        <w:t>4.</w:t>
      </w:r>
      <w:r>
        <w:tab/>
        <w:t>FORMA FARMACÉUTICA Y CONTENIDO DEL ENVASE</w:t>
      </w:r>
    </w:p>
    <w:p w14:paraId="4FF4B83A" w14:textId="77777777" w:rsidR="00EC5413" w:rsidRDefault="00EC5413">
      <w:pPr>
        <w:keepNext/>
      </w:pPr>
    </w:p>
    <w:p w14:paraId="4FF4B83B" w14:textId="77777777" w:rsidR="00EC5413" w:rsidRPr="00F66433" w:rsidRDefault="00EC5413" w:rsidP="0079404B">
      <w:pPr>
        <w:tabs>
          <w:tab w:val="left" w:pos="567"/>
        </w:tabs>
        <w:suppressAutoHyphens w:val="0"/>
      </w:pPr>
      <w:r w:rsidRPr="0079404B">
        <w:rPr>
          <w:highlight w:val="lightGray"/>
          <w:lang w:eastAsia="en-US"/>
        </w:rPr>
        <w:t>Polvo efervescente y polvo para suspensión oral</w:t>
      </w:r>
    </w:p>
    <w:p w14:paraId="4FF4B83C" w14:textId="1988940C" w:rsidR="00EC5413" w:rsidRDefault="00EC5413">
      <w:r>
        <w:t>1 sobre de polvo para suspensión oral</w:t>
      </w:r>
    </w:p>
    <w:p w14:paraId="4FF4B83D" w14:textId="27A46062" w:rsidR="00EC5413" w:rsidRDefault="00EC5413">
      <w:r>
        <w:t>1 sobre de polvo efervescente</w:t>
      </w:r>
    </w:p>
    <w:p w14:paraId="4FF4B83E" w14:textId="77777777" w:rsidR="00EC5413" w:rsidRDefault="00EC5413">
      <w:r>
        <w:t>Una dosis.</w:t>
      </w:r>
    </w:p>
    <w:p w14:paraId="4FF4B83F" w14:textId="77777777" w:rsidR="00EC5413" w:rsidRDefault="00EC5413"/>
    <w:p w14:paraId="4FF4B840" w14:textId="77777777" w:rsidR="00EC5413" w:rsidRDefault="00EC5413"/>
    <w:p w14:paraId="4FF4B841" w14:textId="77777777" w:rsidR="00EC5413" w:rsidRDefault="00EC5413">
      <w:pPr>
        <w:pStyle w:val="Heading1LAB"/>
      </w:pPr>
      <w:r>
        <w:t>5.</w:t>
      </w:r>
      <w:r>
        <w:tab/>
        <w:t>FORMA Y VÍA(S) DE ADMINISTRACIÓN</w:t>
      </w:r>
    </w:p>
    <w:p w14:paraId="4FF4B842" w14:textId="77777777" w:rsidR="00EC5413" w:rsidRDefault="00EC5413">
      <w:pPr>
        <w:keepNext/>
      </w:pPr>
    </w:p>
    <w:p w14:paraId="4FF4B843" w14:textId="77777777" w:rsidR="00EC5413" w:rsidRDefault="00EC5413">
      <w:r>
        <w:t>Leer el prospecto antes de utilizar este medicamento.</w:t>
      </w:r>
    </w:p>
    <w:p w14:paraId="4FF4B844" w14:textId="2558663E" w:rsidR="00EC5413" w:rsidRDefault="00EC5413">
      <w:r>
        <w:t>Mezclar el polvo efervescente (sobre 1) con agua embotellada (SOLO para niños de entre 2 y &lt; 6 años, deseche la mitad de la solución). A continuación, añadir el principio activo (sobre 2) y mezclarlo antes de la toma.</w:t>
      </w:r>
    </w:p>
    <w:p w14:paraId="4FF4B845" w14:textId="77777777" w:rsidR="00EC5413" w:rsidRDefault="00EC5413">
      <w:r>
        <w:t>Vía oral.</w:t>
      </w:r>
    </w:p>
    <w:p w14:paraId="4FF4B846" w14:textId="77777777" w:rsidR="00EC5413" w:rsidRDefault="00EC5413"/>
    <w:p w14:paraId="4FF4B847" w14:textId="77777777" w:rsidR="00EC5413" w:rsidRDefault="00EC5413"/>
    <w:p w14:paraId="4FF4B848" w14:textId="77777777" w:rsidR="00EC5413" w:rsidRDefault="00EC5413">
      <w:pPr>
        <w:pStyle w:val="Heading1LAB"/>
      </w:pPr>
      <w:r>
        <w:t>6.</w:t>
      </w:r>
      <w:r>
        <w:tab/>
        <w:t>ADVERTENCIA ESPECIAL DE QUE EL MEDICAMENTO DEBE MANTENERSE FUERA DE LA VISTA Y DEL ALCANCE DE LOS NIÑOS</w:t>
      </w:r>
    </w:p>
    <w:p w14:paraId="4FF4B849" w14:textId="77777777" w:rsidR="00EC5413" w:rsidRDefault="00EC5413">
      <w:pPr>
        <w:keepNext/>
      </w:pPr>
    </w:p>
    <w:p w14:paraId="4FF4B84A" w14:textId="77777777" w:rsidR="00EC5413" w:rsidRDefault="00EC5413">
      <w:r>
        <w:t>Mantener fuera de la vista y del alcance de los niños.</w:t>
      </w:r>
    </w:p>
    <w:p w14:paraId="4FF4B84B" w14:textId="77777777" w:rsidR="00EC5413" w:rsidRDefault="00EC5413"/>
    <w:p w14:paraId="4FF4B84C" w14:textId="77777777" w:rsidR="00EC5413" w:rsidRDefault="00EC5413"/>
    <w:p w14:paraId="4FF4B84D" w14:textId="77777777" w:rsidR="00EC5413" w:rsidRDefault="00EC5413">
      <w:pPr>
        <w:pStyle w:val="Heading1LAB"/>
      </w:pPr>
      <w:r>
        <w:t>7.</w:t>
      </w:r>
      <w:r>
        <w:tab/>
        <w:t>OTRA(S) ADVERTENCIA(S) ESPECIAL(ES), SI ES NECESARIO</w:t>
      </w:r>
    </w:p>
    <w:p w14:paraId="4FF4B84E" w14:textId="77777777" w:rsidR="00EC5413" w:rsidRDefault="00EC5413">
      <w:pPr>
        <w:keepNext/>
      </w:pPr>
    </w:p>
    <w:p w14:paraId="4FF4B84F" w14:textId="77777777" w:rsidR="00EC5413" w:rsidRDefault="00EC5413"/>
    <w:p w14:paraId="4FF4B850" w14:textId="77777777" w:rsidR="00EC5413" w:rsidRDefault="00EC5413">
      <w:pPr>
        <w:pStyle w:val="Heading1LAB"/>
      </w:pPr>
      <w:r>
        <w:t>8.</w:t>
      </w:r>
      <w:r>
        <w:tab/>
        <w:t>FECHA DE CADUCIDAD</w:t>
      </w:r>
    </w:p>
    <w:p w14:paraId="4FF4B851" w14:textId="77777777" w:rsidR="00EC5413" w:rsidRDefault="00EC5413">
      <w:pPr>
        <w:keepNext/>
      </w:pPr>
    </w:p>
    <w:p w14:paraId="4FF4B852" w14:textId="77777777" w:rsidR="00EC5413" w:rsidRDefault="00EC5413">
      <w:r>
        <w:t>CAD</w:t>
      </w:r>
    </w:p>
    <w:p w14:paraId="4FF4B853" w14:textId="77777777" w:rsidR="00EC5413" w:rsidRDefault="00EC5413"/>
    <w:p w14:paraId="4FF4B854" w14:textId="77777777" w:rsidR="00EC5413" w:rsidRDefault="00EC5413"/>
    <w:p w14:paraId="4FF4B855" w14:textId="77777777" w:rsidR="00EC5413" w:rsidRDefault="00EC5413">
      <w:pPr>
        <w:pStyle w:val="Heading1LAB"/>
      </w:pPr>
      <w:r>
        <w:lastRenderedPageBreak/>
        <w:t>9.</w:t>
      </w:r>
      <w:r>
        <w:tab/>
        <w:t>CONDICIONES ESPECIALES DE CONSERVACIÓN</w:t>
      </w:r>
    </w:p>
    <w:p w14:paraId="4FF4B856" w14:textId="77777777" w:rsidR="00EC5413" w:rsidRDefault="00EC5413">
      <w:pPr>
        <w:keepNext/>
      </w:pPr>
    </w:p>
    <w:p w14:paraId="4FF4B857" w14:textId="77777777" w:rsidR="00EC5413" w:rsidRDefault="00EC5413">
      <w:r>
        <w:t>Conservar en nevera.</w:t>
      </w:r>
    </w:p>
    <w:p w14:paraId="4FF4B858" w14:textId="77777777" w:rsidR="00EC5413" w:rsidRPr="00BE5CF1" w:rsidRDefault="00EC5413">
      <w:r>
        <w:t>Conservar en el embalaje original para protegerla de la luz y la humedad</w:t>
      </w:r>
      <w:r w:rsidRPr="00BE5CF1">
        <w:t>.</w:t>
      </w:r>
    </w:p>
    <w:p w14:paraId="4FF4B859" w14:textId="77777777" w:rsidR="00EC5413" w:rsidRPr="00BE5CF1" w:rsidRDefault="00EC5413"/>
    <w:p w14:paraId="4FF4B85A" w14:textId="77777777" w:rsidR="00EC5413" w:rsidRPr="00BE5CF1" w:rsidRDefault="00EC5413"/>
    <w:p w14:paraId="4FF4B85B" w14:textId="77777777" w:rsidR="00EC5413" w:rsidRDefault="00EC5413">
      <w:pPr>
        <w:pStyle w:val="Heading1LAB"/>
      </w:pPr>
      <w:r>
        <w:t>10.</w:t>
      </w:r>
      <w:r>
        <w:tab/>
        <w:t>PRECAUCIONES ESPECIALES DE ELIMINACIÓN DEL MEDICAMENTO NO UTILIZADO Y DE LOS MATERIALES DERIVADOS DE SU USO, CUANDO CORRESPONDA</w:t>
      </w:r>
    </w:p>
    <w:p w14:paraId="4FF4B85C" w14:textId="77777777" w:rsidR="00EC5413" w:rsidRDefault="00EC5413">
      <w:pPr>
        <w:keepNext/>
      </w:pPr>
    </w:p>
    <w:p w14:paraId="4FF4B85D" w14:textId="4B571C09" w:rsidR="00EC5413" w:rsidRDefault="00EC5413">
      <w:r>
        <w:t xml:space="preserve">Este medicamento contiene organismos modificados genéticamente. La eliminación del medicamento no utilizado </w:t>
      </w:r>
      <w:r w:rsidRPr="00EE3920">
        <w:t>y de todos los materiales que hayan estado en contacto con él</w:t>
      </w:r>
      <w:r>
        <w:t xml:space="preserve"> se realizará de acuerdo con las directrices locales en materia de bioseguridad.</w:t>
      </w:r>
    </w:p>
    <w:p w14:paraId="4FF4B85E" w14:textId="77777777" w:rsidR="00EC5413" w:rsidRDefault="00EC5413"/>
    <w:p w14:paraId="4FF4B85F" w14:textId="77777777" w:rsidR="00EC5413" w:rsidRDefault="00EC5413"/>
    <w:p w14:paraId="4FF4B860" w14:textId="77777777" w:rsidR="00EC5413" w:rsidRDefault="00EC5413">
      <w:pPr>
        <w:pStyle w:val="Heading1LAB"/>
      </w:pPr>
      <w:r>
        <w:t>11.</w:t>
      </w:r>
      <w:r>
        <w:tab/>
        <w:t>NOMBRE Y DIRECCIÓN DEL TITULAR DE LA AUTORIZACIÓN DE COMERCIALIZACIÓN</w:t>
      </w:r>
    </w:p>
    <w:p w14:paraId="4FF4B861" w14:textId="77777777" w:rsidR="00EC5413" w:rsidRDefault="00EC5413">
      <w:pPr>
        <w:keepNext/>
      </w:pPr>
    </w:p>
    <w:p w14:paraId="4FF4B862" w14:textId="77777777" w:rsidR="00EC5413" w:rsidRPr="00C82CAD" w:rsidRDefault="00EC5413">
      <w:pPr>
        <w:rPr>
          <w:lang w:val="en-GB"/>
        </w:rPr>
      </w:pPr>
      <w:r w:rsidRPr="00C82CAD">
        <w:rPr>
          <w:lang w:val="en-GB"/>
        </w:rPr>
        <w:t>Bavarian Nordic A/S</w:t>
      </w:r>
    </w:p>
    <w:p w14:paraId="4FF4B863" w14:textId="67DB51FE" w:rsidR="00EC5413" w:rsidRPr="00C82CAD" w:rsidRDefault="00EC5413">
      <w:pPr>
        <w:rPr>
          <w:lang w:val="en-GB"/>
        </w:rPr>
      </w:pPr>
      <w:r w:rsidRPr="00C82CAD">
        <w:rPr>
          <w:lang w:val="en-GB"/>
        </w:rPr>
        <w:t>Philip Heymans Alle</w:t>
      </w:r>
      <w:r>
        <w:rPr>
          <w:lang w:val="en-GB"/>
        </w:rPr>
        <w:t> </w:t>
      </w:r>
      <w:r w:rsidRPr="00C82CAD">
        <w:rPr>
          <w:lang w:val="en-GB"/>
        </w:rPr>
        <w:t>3</w:t>
      </w:r>
    </w:p>
    <w:p w14:paraId="4FF4B864" w14:textId="760B82FD" w:rsidR="00EC5413" w:rsidRDefault="00EC5413">
      <w:r>
        <w:t>DK</w:t>
      </w:r>
      <w:r>
        <w:noBreakHyphen/>
        <w:t>2900 Hellerup</w:t>
      </w:r>
    </w:p>
    <w:p w14:paraId="4FF4B865" w14:textId="77777777" w:rsidR="00EC5413" w:rsidRDefault="00EC5413" w:rsidP="00D25AFA">
      <w:r>
        <w:t>Dinamarca</w:t>
      </w:r>
    </w:p>
    <w:p w14:paraId="4FF4B866" w14:textId="77777777" w:rsidR="00EC5413" w:rsidRDefault="00EC5413"/>
    <w:p w14:paraId="4FF4B867" w14:textId="77777777" w:rsidR="00EC5413" w:rsidRDefault="00EC5413"/>
    <w:p w14:paraId="4FF4B868" w14:textId="77777777" w:rsidR="00EC5413" w:rsidRDefault="00EC5413">
      <w:pPr>
        <w:pStyle w:val="Heading1LAB"/>
      </w:pPr>
      <w:r>
        <w:t>12.</w:t>
      </w:r>
      <w:r>
        <w:tab/>
        <w:t>NÚMERO(S) DE AUTORIZACIÓN DE COMERCIALIZACIÓN</w:t>
      </w:r>
    </w:p>
    <w:p w14:paraId="4FF4B869" w14:textId="77777777" w:rsidR="00EC5413" w:rsidRDefault="00EC5413">
      <w:pPr>
        <w:keepNext/>
      </w:pPr>
    </w:p>
    <w:p w14:paraId="4FF4B86A" w14:textId="77777777" w:rsidR="00EC5413" w:rsidRDefault="00EC5413">
      <w:r>
        <w:t>EU/1/20/1423/001</w:t>
      </w:r>
    </w:p>
    <w:p w14:paraId="4FF4B86B" w14:textId="77777777" w:rsidR="00EC5413" w:rsidRDefault="00EC5413"/>
    <w:p w14:paraId="4FF4B86C" w14:textId="77777777" w:rsidR="00EC5413" w:rsidRDefault="00EC5413"/>
    <w:p w14:paraId="4FF4B86D" w14:textId="77777777" w:rsidR="00EC5413" w:rsidRDefault="00EC5413">
      <w:pPr>
        <w:pStyle w:val="Heading1LAB"/>
      </w:pPr>
      <w:r>
        <w:t>13.</w:t>
      </w:r>
      <w:r>
        <w:tab/>
        <w:t>NÚMERO DE LOTE</w:t>
      </w:r>
    </w:p>
    <w:p w14:paraId="4FF4B86E" w14:textId="77777777" w:rsidR="00EC5413" w:rsidRDefault="00EC5413">
      <w:pPr>
        <w:keepNext/>
      </w:pPr>
    </w:p>
    <w:p w14:paraId="4FF4B86F" w14:textId="77777777" w:rsidR="00EC5413" w:rsidRDefault="00EC5413">
      <w:r>
        <w:t>Lote</w:t>
      </w:r>
    </w:p>
    <w:p w14:paraId="4FF4B870" w14:textId="77777777" w:rsidR="00EC5413" w:rsidRDefault="00EC5413"/>
    <w:p w14:paraId="4FF4B871" w14:textId="77777777" w:rsidR="00EC5413" w:rsidRDefault="00EC5413"/>
    <w:p w14:paraId="4FF4B872" w14:textId="77777777" w:rsidR="00EC5413" w:rsidRDefault="00EC5413">
      <w:pPr>
        <w:pStyle w:val="Heading1LAB"/>
      </w:pPr>
      <w:r>
        <w:t>14.</w:t>
      </w:r>
      <w:r>
        <w:tab/>
        <w:t>CONDICIONES GENERALES DE DISPENSACIÓN</w:t>
      </w:r>
    </w:p>
    <w:p w14:paraId="4FF4B873" w14:textId="77777777" w:rsidR="00EC5413" w:rsidRDefault="00EC5413">
      <w:pPr>
        <w:keepNext/>
      </w:pPr>
    </w:p>
    <w:p w14:paraId="4FF4B874" w14:textId="77777777" w:rsidR="00EC5413" w:rsidRDefault="00EC5413"/>
    <w:p w14:paraId="4FF4B875" w14:textId="77777777" w:rsidR="00EC5413" w:rsidRDefault="00EC5413">
      <w:pPr>
        <w:pStyle w:val="Heading1LAB"/>
      </w:pPr>
      <w:r>
        <w:t>15.</w:t>
      </w:r>
      <w:r>
        <w:tab/>
        <w:t>INSTRUCCIONES DE USO</w:t>
      </w:r>
    </w:p>
    <w:p w14:paraId="4FF4B876" w14:textId="77777777" w:rsidR="00EC5413" w:rsidRDefault="00EC5413">
      <w:pPr>
        <w:keepNext/>
      </w:pPr>
    </w:p>
    <w:p w14:paraId="4FF4B877" w14:textId="77777777" w:rsidR="00EC5413" w:rsidRDefault="00EC5413"/>
    <w:p w14:paraId="4FF4B878" w14:textId="77777777" w:rsidR="00EC5413" w:rsidRDefault="00EC5413">
      <w:pPr>
        <w:pStyle w:val="Heading1LAB"/>
      </w:pPr>
      <w:r>
        <w:t>16.</w:t>
      </w:r>
      <w:r>
        <w:tab/>
        <w:t>INFORMACIÓN EN BRAILLE</w:t>
      </w:r>
    </w:p>
    <w:p w14:paraId="4FF4B879" w14:textId="77777777" w:rsidR="00EC5413" w:rsidRDefault="00EC5413">
      <w:pPr>
        <w:keepNext/>
      </w:pPr>
    </w:p>
    <w:p w14:paraId="4FF4B87A" w14:textId="77777777" w:rsidR="00EC5413" w:rsidRPr="00300219" w:rsidRDefault="00EC5413">
      <w:pPr>
        <w:rPr>
          <w:lang w:val="pt-PT"/>
        </w:rPr>
      </w:pPr>
      <w:r w:rsidRPr="00300219">
        <w:rPr>
          <w:lang w:val="pt-PT"/>
        </w:rPr>
        <w:t>Vaxchora</w:t>
      </w:r>
    </w:p>
    <w:p w14:paraId="4FF4B87B" w14:textId="77777777" w:rsidR="00EC5413" w:rsidRPr="00300219" w:rsidRDefault="00EC5413">
      <w:pPr>
        <w:rPr>
          <w:lang w:val="pt-PT"/>
        </w:rPr>
      </w:pPr>
    </w:p>
    <w:p w14:paraId="4FF4B87C" w14:textId="77777777" w:rsidR="00EC5413" w:rsidRPr="00300219" w:rsidRDefault="00EC5413">
      <w:pPr>
        <w:rPr>
          <w:lang w:val="pt-PT"/>
        </w:rPr>
      </w:pPr>
    </w:p>
    <w:p w14:paraId="4FF4B87D" w14:textId="373DFF0F" w:rsidR="00EC5413" w:rsidRPr="00300219" w:rsidRDefault="00EC5413">
      <w:pPr>
        <w:pStyle w:val="Heading1LAB"/>
        <w:rPr>
          <w:lang w:val="pt-PT"/>
        </w:rPr>
      </w:pPr>
      <w:r w:rsidRPr="00300219">
        <w:rPr>
          <w:lang w:val="pt-PT"/>
        </w:rPr>
        <w:t>17.</w:t>
      </w:r>
      <w:r w:rsidRPr="00300219">
        <w:rPr>
          <w:lang w:val="pt-PT"/>
        </w:rPr>
        <w:tab/>
        <w:t>IDENTIFICADOR ÚNICO – CÓDIGO DE BARRAS 2D</w:t>
      </w:r>
    </w:p>
    <w:p w14:paraId="4FF4B87E" w14:textId="77777777" w:rsidR="00EC5413" w:rsidRPr="00300219" w:rsidRDefault="00EC5413">
      <w:pPr>
        <w:keepNext/>
        <w:rPr>
          <w:lang w:val="pt-PT"/>
        </w:rPr>
      </w:pPr>
    </w:p>
    <w:p w14:paraId="4FF4B87F" w14:textId="606EB52B" w:rsidR="00EC5413" w:rsidRDefault="00EC5413">
      <w:r w:rsidRPr="00532772">
        <w:rPr>
          <w:highlight w:val="lightGray"/>
        </w:rPr>
        <w:t>Incluido el código de barras</w:t>
      </w:r>
      <w:r>
        <w:rPr>
          <w:highlight w:val="lightGray"/>
        </w:rPr>
        <w:t> </w:t>
      </w:r>
      <w:r w:rsidRPr="00532772">
        <w:rPr>
          <w:highlight w:val="lightGray"/>
        </w:rPr>
        <w:t>2D que lleva el identificador único.</w:t>
      </w:r>
    </w:p>
    <w:p w14:paraId="4FF4B880" w14:textId="77777777" w:rsidR="00EC5413" w:rsidRDefault="00EC5413"/>
    <w:p w14:paraId="4FF4B881" w14:textId="77777777" w:rsidR="00EC5413" w:rsidRDefault="00EC5413"/>
    <w:p w14:paraId="4FF4B882" w14:textId="122920D8" w:rsidR="00EC5413" w:rsidRDefault="00EC5413">
      <w:pPr>
        <w:pStyle w:val="Heading1LAB"/>
      </w:pPr>
      <w:r>
        <w:lastRenderedPageBreak/>
        <w:t>18.</w:t>
      </w:r>
      <w:r>
        <w:tab/>
        <w:t>IDENTIFICADOR ÚNICO – INFORMACIÓN EN CARACTERES VISUALES</w:t>
      </w:r>
    </w:p>
    <w:p w14:paraId="4FF4B883" w14:textId="77777777" w:rsidR="00EC5413" w:rsidRDefault="00EC5413">
      <w:pPr>
        <w:keepNext/>
      </w:pPr>
    </w:p>
    <w:p w14:paraId="4FF4B884" w14:textId="4EDDB95D" w:rsidR="00EC5413" w:rsidRDefault="00EC5413">
      <w:pPr>
        <w:keepNext/>
      </w:pPr>
      <w:r>
        <w:t>PC</w:t>
      </w:r>
    </w:p>
    <w:p w14:paraId="4FF4B885" w14:textId="2B1CF5C9" w:rsidR="00EC5413" w:rsidRDefault="00EC5413">
      <w:pPr>
        <w:keepNext/>
      </w:pPr>
      <w:r>
        <w:t>SN</w:t>
      </w:r>
    </w:p>
    <w:p w14:paraId="4FF4B886" w14:textId="5C7FC966" w:rsidR="00EC5413" w:rsidRDefault="00EC5413">
      <w:r>
        <w:t>NN</w:t>
      </w:r>
    </w:p>
    <w:p w14:paraId="4FF4B887" w14:textId="77777777" w:rsidR="00EC5413" w:rsidRDefault="00EC5413">
      <w:pPr>
        <w:pStyle w:val="HeadingStrLAB"/>
      </w:pPr>
      <w:r>
        <w:br w:type="page"/>
      </w:r>
      <w:r>
        <w:lastRenderedPageBreak/>
        <w:t>INFORMACIÓN MÍNIMA QUE DEBE INCLUIRSE EN PEQUEÑOS ACONDICIONAMIENTOS PRIMARIOS</w:t>
      </w:r>
    </w:p>
    <w:p w14:paraId="4FF4B888" w14:textId="77777777" w:rsidR="00EC5413" w:rsidRDefault="00EC5413">
      <w:pPr>
        <w:pStyle w:val="HeadingStrLAB"/>
      </w:pPr>
    </w:p>
    <w:p w14:paraId="4FF4B889" w14:textId="77777777" w:rsidR="00EC5413" w:rsidRDefault="00EC5413">
      <w:pPr>
        <w:pStyle w:val="HeadingStrLAB"/>
      </w:pPr>
      <w:r>
        <w:t>Sobre</w:t>
      </w:r>
    </w:p>
    <w:p w14:paraId="4FF4B88A" w14:textId="77777777" w:rsidR="00EC5413" w:rsidRDefault="00EC5413"/>
    <w:p w14:paraId="4FF4B88B" w14:textId="77777777" w:rsidR="00EC5413" w:rsidRDefault="00EC5413"/>
    <w:p w14:paraId="4FF4B88C" w14:textId="77777777" w:rsidR="00EC5413" w:rsidRDefault="00EC5413">
      <w:pPr>
        <w:pStyle w:val="Heading1LAB"/>
      </w:pPr>
      <w:r>
        <w:t>1.</w:t>
      </w:r>
      <w:r>
        <w:tab/>
        <w:t>NOMBRE DEL MEDICAMENTO Y VÍA(S) DE ADMINISTRACIÓN</w:t>
      </w:r>
    </w:p>
    <w:p w14:paraId="4FF4B88D" w14:textId="77777777" w:rsidR="00EC5413" w:rsidRDefault="00EC5413">
      <w:pPr>
        <w:keepNext/>
      </w:pPr>
    </w:p>
    <w:p w14:paraId="4FF4B88E" w14:textId="77777777" w:rsidR="00EC5413" w:rsidRDefault="00EC5413">
      <w:r>
        <w:t>Principio activo de Vaxchora</w:t>
      </w:r>
    </w:p>
    <w:p w14:paraId="4FF4B88F" w14:textId="77777777" w:rsidR="00EC5413" w:rsidRDefault="00EC5413">
      <w:r>
        <w:t>Polvo para suspensión oral</w:t>
      </w:r>
    </w:p>
    <w:p w14:paraId="4FF4B890" w14:textId="21B75F19" w:rsidR="00EC5413" w:rsidRDefault="00EC5413">
      <w:r>
        <w:t>Cepa de la vacuna frente al cólera</w:t>
      </w:r>
    </w:p>
    <w:p w14:paraId="4FF4B891" w14:textId="77777777" w:rsidR="00EC5413" w:rsidRDefault="00EC5413">
      <w:r>
        <w:t>Vía oral</w:t>
      </w:r>
    </w:p>
    <w:p w14:paraId="4FF4B892" w14:textId="77777777" w:rsidR="00EC5413" w:rsidRDefault="00EC5413"/>
    <w:p w14:paraId="4FF4B893" w14:textId="77777777" w:rsidR="00EC5413" w:rsidRDefault="00EC5413"/>
    <w:p w14:paraId="4FF4B894" w14:textId="77777777" w:rsidR="00EC5413" w:rsidRDefault="00EC5413">
      <w:pPr>
        <w:pStyle w:val="Heading1LAB"/>
      </w:pPr>
      <w:r>
        <w:t>2.</w:t>
      </w:r>
      <w:r>
        <w:tab/>
        <w:t>FORMA DE ADMINISTRACIÓN</w:t>
      </w:r>
    </w:p>
    <w:p w14:paraId="4FF4B895" w14:textId="77777777" w:rsidR="00EC5413" w:rsidRDefault="00EC5413">
      <w:pPr>
        <w:keepNext/>
      </w:pPr>
    </w:p>
    <w:p w14:paraId="4FF4B896" w14:textId="2D5E3CCD" w:rsidR="00EC5413" w:rsidRDefault="00EC5413">
      <w:r>
        <w:t>Se debe usar con el tampón de Vaxchora disuelto en agua embotellada.</w:t>
      </w:r>
    </w:p>
    <w:p w14:paraId="4FF4B897" w14:textId="77777777" w:rsidR="00EC5413" w:rsidRDefault="00EC5413">
      <w:r>
        <w:t>Leer el prospecto antes de utilizar este medicamento.</w:t>
      </w:r>
    </w:p>
    <w:p w14:paraId="4FF4B898" w14:textId="77777777" w:rsidR="00EC5413" w:rsidRDefault="00EC5413"/>
    <w:p w14:paraId="4FF4B899" w14:textId="77777777" w:rsidR="00EC5413" w:rsidRDefault="00EC5413"/>
    <w:p w14:paraId="4FF4B89A" w14:textId="77777777" w:rsidR="00EC5413" w:rsidRDefault="00EC5413">
      <w:pPr>
        <w:pStyle w:val="Heading1LAB"/>
      </w:pPr>
      <w:r>
        <w:t>3.</w:t>
      </w:r>
      <w:r>
        <w:tab/>
        <w:t>FECHA DE CADUCIDAD</w:t>
      </w:r>
    </w:p>
    <w:p w14:paraId="4FF4B89B" w14:textId="77777777" w:rsidR="00EC5413" w:rsidRDefault="00EC5413">
      <w:pPr>
        <w:keepNext/>
      </w:pPr>
    </w:p>
    <w:p w14:paraId="4FF4B89C" w14:textId="77777777" w:rsidR="00EC5413" w:rsidRDefault="00EC5413">
      <w:r>
        <w:t>CAD</w:t>
      </w:r>
    </w:p>
    <w:p w14:paraId="4FF4B89D" w14:textId="77777777" w:rsidR="00EC5413" w:rsidRDefault="00EC5413"/>
    <w:p w14:paraId="4FF4B89E" w14:textId="77777777" w:rsidR="00EC5413" w:rsidRDefault="00EC5413"/>
    <w:p w14:paraId="4FF4B89F" w14:textId="77777777" w:rsidR="00EC5413" w:rsidRDefault="00EC5413">
      <w:pPr>
        <w:pStyle w:val="Heading1LAB"/>
      </w:pPr>
      <w:r>
        <w:t>4.</w:t>
      </w:r>
      <w:r>
        <w:tab/>
        <w:t>NÚMERO DE LOTE</w:t>
      </w:r>
    </w:p>
    <w:p w14:paraId="4FF4B8A0" w14:textId="77777777" w:rsidR="00EC5413" w:rsidRDefault="00EC5413">
      <w:pPr>
        <w:keepNext/>
      </w:pPr>
    </w:p>
    <w:p w14:paraId="4FF4B8A1" w14:textId="77777777" w:rsidR="00EC5413" w:rsidRDefault="00EC5413">
      <w:r>
        <w:t>Lote</w:t>
      </w:r>
    </w:p>
    <w:p w14:paraId="4FF4B8A2" w14:textId="77777777" w:rsidR="00EC5413" w:rsidRDefault="00EC5413"/>
    <w:p w14:paraId="4FF4B8A3" w14:textId="77777777" w:rsidR="00EC5413" w:rsidRDefault="00EC5413"/>
    <w:p w14:paraId="4FF4B8A4" w14:textId="77777777" w:rsidR="00EC5413" w:rsidRDefault="00EC5413">
      <w:pPr>
        <w:pStyle w:val="Heading1LAB"/>
      </w:pPr>
      <w:r>
        <w:t>5.</w:t>
      </w:r>
      <w:r>
        <w:tab/>
        <w:t>CONTENIDO EN PESO, EN VOLUMEN O EN UNIDADES</w:t>
      </w:r>
    </w:p>
    <w:p w14:paraId="4FF4B8A5" w14:textId="77777777" w:rsidR="00EC5413" w:rsidRDefault="00EC5413">
      <w:pPr>
        <w:keepNext/>
      </w:pPr>
    </w:p>
    <w:p w14:paraId="4FF4B8A6" w14:textId="77777777" w:rsidR="00EC5413" w:rsidRDefault="00EC5413">
      <w:r>
        <w:t>2,0 g</w:t>
      </w:r>
    </w:p>
    <w:p w14:paraId="4FF4B8A7" w14:textId="77777777" w:rsidR="00EC5413" w:rsidRDefault="00EC5413"/>
    <w:p w14:paraId="4FF4B8A8" w14:textId="77777777" w:rsidR="00EC5413" w:rsidRDefault="00EC5413"/>
    <w:p w14:paraId="4FF4B8A9" w14:textId="77777777" w:rsidR="00EC5413" w:rsidRDefault="00EC5413">
      <w:pPr>
        <w:pStyle w:val="Heading1LAB"/>
      </w:pPr>
      <w:r>
        <w:t>6.</w:t>
      </w:r>
      <w:r>
        <w:tab/>
        <w:t>OTROS</w:t>
      </w:r>
    </w:p>
    <w:p w14:paraId="4FF4B8AA" w14:textId="77777777" w:rsidR="00EC5413" w:rsidRDefault="00EC5413">
      <w:pPr>
        <w:keepNext/>
      </w:pPr>
    </w:p>
    <w:p w14:paraId="4FF4B8AB" w14:textId="77777777" w:rsidR="00EC5413" w:rsidRDefault="00EC5413">
      <w:r>
        <w:t>2</w:t>
      </w:r>
    </w:p>
    <w:p w14:paraId="4FF4B8AC" w14:textId="77777777" w:rsidR="00EC5413" w:rsidRDefault="00EC5413"/>
    <w:p w14:paraId="4FF4B8AD" w14:textId="77777777" w:rsidR="00EC5413" w:rsidRDefault="00EC5413">
      <w:r w:rsidRPr="00707D55">
        <w:rPr>
          <w:rFonts w:eastAsia="Times New Roman"/>
          <w:noProof w:val="0"/>
          <w:shd w:val="pct15" w:color="auto" w:fill="auto"/>
          <w:lang w:eastAsia="en-US"/>
        </w:rPr>
        <w:t>Consulte la otra cara para ver las instrucciones</w:t>
      </w:r>
      <w:r>
        <w:t>.</w:t>
      </w:r>
    </w:p>
    <w:p w14:paraId="4FF4B8AE" w14:textId="77777777" w:rsidR="00EC5413" w:rsidRDefault="00EC5413"/>
    <w:p w14:paraId="4FF4B8AF" w14:textId="7E1953A4" w:rsidR="00EC5413" w:rsidRDefault="00EC5413">
      <w:r>
        <w:t>Sobre 2 de 2. Utilizar en último lugar.</w:t>
      </w:r>
    </w:p>
    <w:p w14:paraId="4FF4B8B0" w14:textId="77777777" w:rsidR="00EC5413" w:rsidRDefault="00EC5413"/>
    <w:p w14:paraId="4FF4B8B1" w14:textId="77777777" w:rsidR="00EC5413" w:rsidRDefault="00EC5413">
      <w:r>
        <w:t>Bavarian Nordic A/S</w:t>
      </w:r>
    </w:p>
    <w:p w14:paraId="4FF4B8B2" w14:textId="77777777" w:rsidR="00EC5413" w:rsidRDefault="00EC5413"/>
    <w:p w14:paraId="4FF4B8B3" w14:textId="77777777" w:rsidR="00EC5413" w:rsidRDefault="00EC5413">
      <w:r>
        <w:br w:type="page"/>
      </w:r>
    </w:p>
    <w:p w14:paraId="4FF4B8B4" w14:textId="77777777" w:rsidR="00EC5413" w:rsidRDefault="00EC5413">
      <w:pPr>
        <w:pStyle w:val="HeadingStrLAB"/>
      </w:pPr>
      <w:r>
        <w:lastRenderedPageBreak/>
        <w:t>INFORMACIÓN MÍNIMA QUE DEBE INCLUIRSE EN PEQUEÑOS ACONDICIONAMIENTOS PRIMARIOS</w:t>
      </w:r>
    </w:p>
    <w:p w14:paraId="4FF4B8B5" w14:textId="77777777" w:rsidR="00EC5413" w:rsidRDefault="00EC5413">
      <w:pPr>
        <w:pStyle w:val="HeadingStrLAB"/>
      </w:pPr>
    </w:p>
    <w:p w14:paraId="4FF4B8B6" w14:textId="77777777" w:rsidR="00EC5413" w:rsidRDefault="00EC5413">
      <w:pPr>
        <w:pStyle w:val="HeadingStrLAB"/>
      </w:pPr>
      <w:r>
        <w:t>Sobre</w:t>
      </w:r>
    </w:p>
    <w:p w14:paraId="4FF4B8B7" w14:textId="77777777" w:rsidR="00EC5413" w:rsidRDefault="00EC5413">
      <w:pPr>
        <w:keepNext/>
      </w:pPr>
    </w:p>
    <w:p w14:paraId="4FF4B8B8" w14:textId="77777777" w:rsidR="00EC5413" w:rsidRDefault="00EC5413"/>
    <w:p w14:paraId="4FF4B8B9" w14:textId="77777777" w:rsidR="00EC5413" w:rsidRDefault="00EC5413">
      <w:pPr>
        <w:pStyle w:val="Heading1LAB"/>
      </w:pPr>
      <w:r>
        <w:t>1.</w:t>
      </w:r>
      <w:r>
        <w:tab/>
        <w:t>NOMBRE DEL MEDICAMENTO Y VÍA(S) DE ADMINISTRACIÓN</w:t>
      </w:r>
    </w:p>
    <w:p w14:paraId="4FF4B8BA" w14:textId="77777777" w:rsidR="00EC5413" w:rsidRDefault="00EC5413">
      <w:pPr>
        <w:keepNext/>
      </w:pPr>
    </w:p>
    <w:p w14:paraId="4FF4B8BB" w14:textId="77777777" w:rsidR="00EC5413" w:rsidRDefault="00EC5413">
      <w:r>
        <w:t>Tampón de Vaxchora</w:t>
      </w:r>
    </w:p>
    <w:p w14:paraId="4FF4B8BC" w14:textId="77777777" w:rsidR="00EC5413" w:rsidRDefault="00EC5413">
      <w:r>
        <w:t>Polvo efervescente</w:t>
      </w:r>
    </w:p>
    <w:p w14:paraId="4FF4B8BD" w14:textId="740B2871" w:rsidR="00EC5413" w:rsidRDefault="00EC5413">
      <w:r>
        <w:t>Bicarbonato de sodio</w:t>
      </w:r>
    </w:p>
    <w:p w14:paraId="4FF4B8BE" w14:textId="77777777" w:rsidR="00EC5413" w:rsidRDefault="00EC5413">
      <w:r>
        <w:t>Vía oral</w:t>
      </w:r>
    </w:p>
    <w:p w14:paraId="4FF4B8BF" w14:textId="77777777" w:rsidR="00EC5413" w:rsidRDefault="00EC5413"/>
    <w:p w14:paraId="4FF4B8C0" w14:textId="77777777" w:rsidR="00EC5413" w:rsidRDefault="00EC5413"/>
    <w:p w14:paraId="4FF4B8C1" w14:textId="77777777" w:rsidR="00EC5413" w:rsidRDefault="00EC5413">
      <w:pPr>
        <w:pStyle w:val="Heading1LAB"/>
      </w:pPr>
      <w:r>
        <w:t>2.</w:t>
      </w:r>
      <w:r>
        <w:tab/>
        <w:t>FORMA DE ADMINISTRACIÓN</w:t>
      </w:r>
    </w:p>
    <w:p w14:paraId="4FF4B8C2" w14:textId="77777777" w:rsidR="00EC5413" w:rsidRDefault="00EC5413">
      <w:pPr>
        <w:keepNext/>
      </w:pPr>
    </w:p>
    <w:p w14:paraId="4FF4B8C3" w14:textId="77777777" w:rsidR="00EC5413" w:rsidRDefault="00EC5413">
      <w:r>
        <w:t>Se debe mezclar con agua embotellada y el principio activo de Vaxchora.</w:t>
      </w:r>
    </w:p>
    <w:p w14:paraId="4FF4B8C4" w14:textId="6B1B6784" w:rsidR="00EC5413" w:rsidRDefault="00EC5413">
      <w:r>
        <w:t>Leer el prospecto antes de utilizar este medicamento, especialmente si se usa en niños de entre 2 y &lt; 6 años, ya que se requieren diferentes pasos para la preparación</w:t>
      </w:r>
    </w:p>
    <w:p w14:paraId="4FF4B8C5" w14:textId="77777777" w:rsidR="00EC5413" w:rsidRDefault="00EC5413"/>
    <w:p w14:paraId="4FF4B8C6" w14:textId="77777777" w:rsidR="00EC5413" w:rsidRDefault="00EC5413"/>
    <w:p w14:paraId="4FF4B8C7" w14:textId="77777777" w:rsidR="00EC5413" w:rsidRDefault="00EC5413">
      <w:pPr>
        <w:pStyle w:val="Heading1LAB"/>
      </w:pPr>
      <w:r>
        <w:t>3.</w:t>
      </w:r>
      <w:r>
        <w:tab/>
        <w:t>FECHA DE CADUCIDAD</w:t>
      </w:r>
    </w:p>
    <w:p w14:paraId="4FF4B8C8" w14:textId="77777777" w:rsidR="00EC5413" w:rsidRDefault="00EC5413">
      <w:pPr>
        <w:keepNext/>
      </w:pPr>
    </w:p>
    <w:p w14:paraId="4FF4B8C9" w14:textId="77777777" w:rsidR="00EC5413" w:rsidRDefault="00EC5413">
      <w:r>
        <w:t>CAD</w:t>
      </w:r>
    </w:p>
    <w:p w14:paraId="4FF4B8CA" w14:textId="77777777" w:rsidR="00EC5413" w:rsidRDefault="00EC5413"/>
    <w:p w14:paraId="4FF4B8CB" w14:textId="77777777" w:rsidR="00EC5413" w:rsidRDefault="00EC5413"/>
    <w:p w14:paraId="4FF4B8CC" w14:textId="77777777" w:rsidR="00EC5413" w:rsidRDefault="00EC5413">
      <w:pPr>
        <w:pStyle w:val="Heading1LAB"/>
      </w:pPr>
      <w:r>
        <w:t>4.</w:t>
      </w:r>
      <w:r>
        <w:tab/>
        <w:t>NÚMERO DE LOTE</w:t>
      </w:r>
    </w:p>
    <w:p w14:paraId="4FF4B8CD" w14:textId="77777777" w:rsidR="00EC5413" w:rsidRDefault="00EC5413">
      <w:pPr>
        <w:keepNext/>
      </w:pPr>
    </w:p>
    <w:p w14:paraId="4FF4B8CE" w14:textId="77777777" w:rsidR="00EC5413" w:rsidRDefault="00EC5413">
      <w:r>
        <w:t>Lote</w:t>
      </w:r>
    </w:p>
    <w:p w14:paraId="4FF4B8CF" w14:textId="77777777" w:rsidR="00EC5413" w:rsidRDefault="00EC5413"/>
    <w:p w14:paraId="4FF4B8D0" w14:textId="77777777" w:rsidR="00EC5413" w:rsidRDefault="00EC5413"/>
    <w:p w14:paraId="4FF4B8D1" w14:textId="77777777" w:rsidR="00EC5413" w:rsidRDefault="00EC5413">
      <w:pPr>
        <w:pStyle w:val="Heading1LAB"/>
      </w:pPr>
      <w:r>
        <w:t>5.</w:t>
      </w:r>
      <w:r>
        <w:tab/>
        <w:t>CONTENIDO EN PESO, EN VOLUMEN O EN UNIDADES</w:t>
      </w:r>
    </w:p>
    <w:p w14:paraId="4FF4B8D2" w14:textId="77777777" w:rsidR="00EC5413" w:rsidRDefault="00EC5413">
      <w:pPr>
        <w:keepNext/>
      </w:pPr>
    </w:p>
    <w:p w14:paraId="4FF4B8D3" w14:textId="77777777" w:rsidR="00EC5413" w:rsidRDefault="00EC5413">
      <w:r>
        <w:t>4,5 g</w:t>
      </w:r>
    </w:p>
    <w:p w14:paraId="4FF4B8D4" w14:textId="77777777" w:rsidR="00EC5413" w:rsidRDefault="00EC5413"/>
    <w:p w14:paraId="4FF4B8D5" w14:textId="77777777" w:rsidR="00EC5413" w:rsidRDefault="00EC5413"/>
    <w:p w14:paraId="4FF4B8D6" w14:textId="77777777" w:rsidR="00EC5413" w:rsidRDefault="00EC5413">
      <w:pPr>
        <w:pStyle w:val="Heading1LAB"/>
      </w:pPr>
      <w:r>
        <w:t>6.</w:t>
      </w:r>
      <w:r>
        <w:tab/>
        <w:t>OTROS</w:t>
      </w:r>
    </w:p>
    <w:p w14:paraId="4FF4B8D7" w14:textId="77777777" w:rsidR="00EC5413" w:rsidRDefault="00EC5413">
      <w:pPr>
        <w:keepNext/>
      </w:pPr>
    </w:p>
    <w:p w14:paraId="4FF4B8D8" w14:textId="77777777" w:rsidR="00EC5413" w:rsidRDefault="00EC5413">
      <w:r>
        <w:t>1</w:t>
      </w:r>
    </w:p>
    <w:p w14:paraId="4FF4B8D9" w14:textId="77777777" w:rsidR="00EC5413" w:rsidRDefault="00EC5413"/>
    <w:p w14:paraId="4FF4B8DA" w14:textId="77777777" w:rsidR="00EC5413" w:rsidRDefault="00EC5413">
      <w:r w:rsidRPr="00707D55">
        <w:rPr>
          <w:rFonts w:eastAsia="Times New Roman"/>
          <w:noProof w:val="0"/>
          <w:shd w:val="pct15" w:color="auto" w:fill="auto"/>
          <w:lang w:eastAsia="en-US"/>
        </w:rPr>
        <w:t>Consulte la otra cara para ver las instrucciones</w:t>
      </w:r>
      <w:r>
        <w:t>.</w:t>
      </w:r>
    </w:p>
    <w:p w14:paraId="4FF4B8DB" w14:textId="77777777" w:rsidR="00EC5413" w:rsidRDefault="00EC5413"/>
    <w:p w14:paraId="4FF4B8DC" w14:textId="7323D70C" w:rsidR="00EC5413" w:rsidRDefault="00EC5413">
      <w:r>
        <w:t>Sobre 1 de 2. Utilizar en primer lugar.</w:t>
      </w:r>
    </w:p>
    <w:p w14:paraId="4FF4B8DD" w14:textId="77777777" w:rsidR="00EC5413" w:rsidRDefault="00EC5413"/>
    <w:p w14:paraId="4FF4B8DE" w14:textId="77777777" w:rsidR="00EC5413" w:rsidRDefault="00EC5413">
      <w:r>
        <w:t>Bavarian Nordic A/S</w:t>
      </w:r>
    </w:p>
    <w:p w14:paraId="4FF4B8DF" w14:textId="77777777" w:rsidR="00EC5413" w:rsidRPr="001F2DE9" w:rsidRDefault="00EC5413"/>
    <w:p w14:paraId="4FF4B8E0" w14:textId="77777777" w:rsidR="00EC5413" w:rsidRPr="001F2DE9" w:rsidRDefault="00EC5413"/>
    <w:p w14:paraId="4FF4B8E1" w14:textId="77777777" w:rsidR="00EC5413" w:rsidRPr="001F2DE9" w:rsidRDefault="00EC5413">
      <w:r w:rsidRPr="001F2DE9">
        <w:br w:type="page"/>
      </w:r>
    </w:p>
    <w:p w14:paraId="4FF4B8E2" w14:textId="77777777" w:rsidR="00EC5413" w:rsidRPr="001F2DE9" w:rsidRDefault="00EC5413"/>
    <w:p w14:paraId="4FF4B8E3" w14:textId="77777777" w:rsidR="00EC5413" w:rsidRPr="001F2DE9" w:rsidRDefault="00EC5413"/>
    <w:p w14:paraId="4FF4B8E4" w14:textId="77777777" w:rsidR="00EC5413" w:rsidRPr="001F2DE9" w:rsidRDefault="00EC5413"/>
    <w:p w14:paraId="4FF4B8E5" w14:textId="77777777" w:rsidR="00EC5413" w:rsidRPr="001F2DE9" w:rsidRDefault="00EC5413"/>
    <w:p w14:paraId="4FF4B8E6" w14:textId="77777777" w:rsidR="00EC5413" w:rsidRPr="001F2DE9" w:rsidRDefault="00EC5413"/>
    <w:p w14:paraId="4FF4B8E7" w14:textId="77777777" w:rsidR="00EC5413" w:rsidRPr="001F2DE9" w:rsidRDefault="00EC5413"/>
    <w:p w14:paraId="4FF4B8E8" w14:textId="77777777" w:rsidR="00EC5413" w:rsidRPr="001F2DE9" w:rsidRDefault="00EC5413"/>
    <w:p w14:paraId="4FF4B8E9" w14:textId="77777777" w:rsidR="00EC5413" w:rsidRPr="001F2DE9" w:rsidRDefault="00EC5413"/>
    <w:p w14:paraId="4FF4B8EA" w14:textId="77777777" w:rsidR="00EC5413" w:rsidRPr="001F2DE9" w:rsidRDefault="00EC5413"/>
    <w:p w14:paraId="4FF4B8EB" w14:textId="77777777" w:rsidR="00EC5413" w:rsidRPr="001F2DE9" w:rsidRDefault="00EC5413"/>
    <w:p w14:paraId="4FF4B8EC" w14:textId="77777777" w:rsidR="00EC5413" w:rsidRPr="001F2DE9" w:rsidRDefault="00EC5413"/>
    <w:p w14:paraId="4FF4B8ED" w14:textId="77777777" w:rsidR="00EC5413" w:rsidRPr="001F2DE9" w:rsidRDefault="00EC5413"/>
    <w:p w14:paraId="4FF4B8EE" w14:textId="77777777" w:rsidR="00EC5413" w:rsidRPr="001F2DE9" w:rsidRDefault="00EC5413"/>
    <w:p w14:paraId="4FF4B8EF" w14:textId="77777777" w:rsidR="00EC5413" w:rsidRPr="001F2DE9" w:rsidRDefault="00EC5413"/>
    <w:p w14:paraId="4FF4B8F0" w14:textId="77777777" w:rsidR="00EC5413" w:rsidRPr="001F2DE9" w:rsidRDefault="00EC5413"/>
    <w:p w14:paraId="4FF4B8F1" w14:textId="77777777" w:rsidR="00EC5413" w:rsidRPr="001F2DE9" w:rsidRDefault="00EC5413"/>
    <w:p w14:paraId="4FF4B8F2" w14:textId="77777777" w:rsidR="00EC5413" w:rsidRPr="001F2DE9" w:rsidRDefault="00EC5413"/>
    <w:p w14:paraId="4FF4B8F3" w14:textId="77777777" w:rsidR="00EC5413" w:rsidRPr="001F2DE9" w:rsidRDefault="00EC5413"/>
    <w:p w14:paraId="4FF4B8F4" w14:textId="77777777" w:rsidR="00EC5413" w:rsidRPr="001F2DE9" w:rsidRDefault="00EC5413"/>
    <w:p w14:paraId="4FF4B8F5" w14:textId="77777777" w:rsidR="00EC5413" w:rsidRPr="001F2DE9" w:rsidRDefault="00EC5413"/>
    <w:p w14:paraId="4FF4B8F6" w14:textId="77777777" w:rsidR="00EC5413" w:rsidRPr="001F2DE9" w:rsidRDefault="00EC5413"/>
    <w:p w14:paraId="4FF4B8F7" w14:textId="77777777" w:rsidR="00EC5413" w:rsidRPr="001F2DE9" w:rsidRDefault="00EC5413"/>
    <w:p w14:paraId="4FF4B8F8" w14:textId="77777777" w:rsidR="00EC5413" w:rsidRPr="001F2DE9" w:rsidRDefault="00EC5413">
      <w:pPr>
        <w:pStyle w:val="TitleA"/>
      </w:pPr>
      <w:r w:rsidRPr="001F2DE9">
        <w:t>B. PROSPECTO</w:t>
      </w:r>
    </w:p>
    <w:p w14:paraId="4FF4B8F9" w14:textId="77777777" w:rsidR="00EC5413" w:rsidRDefault="00EC5413">
      <w:pPr>
        <w:pStyle w:val="Title"/>
      </w:pPr>
      <w:r w:rsidRPr="00FE319B">
        <w:br w:type="page"/>
      </w:r>
      <w:r>
        <w:lastRenderedPageBreak/>
        <w:t>Prospecto: información para el usuario</w:t>
      </w:r>
    </w:p>
    <w:p w14:paraId="4FF4B8FA" w14:textId="77777777" w:rsidR="00EC5413" w:rsidRDefault="00EC5413">
      <w:pPr>
        <w:pStyle w:val="Title"/>
      </w:pPr>
    </w:p>
    <w:p w14:paraId="4FF4B8FB" w14:textId="77777777" w:rsidR="00EC5413" w:rsidRDefault="00EC5413">
      <w:pPr>
        <w:pStyle w:val="Title"/>
      </w:pPr>
      <w:r>
        <w:t>Vaxchora polvo efervescente y polvo para suspensión oral</w:t>
      </w:r>
    </w:p>
    <w:p w14:paraId="4FF4B8FC" w14:textId="77777777" w:rsidR="00EC5413" w:rsidRDefault="00EC5413">
      <w:pPr>
        <w:pStyle w:val="Title"/>
      </w:pPr>
      <w:r>
        <w:t>vacuna frente al cólera (recombinante, viva, oral)</w:t>
      </w:r>
    </w:p>
    <w:p w14:paraId="4FF4B8FF" w14:textId="77777777" w:rsidR="00EC5413" w:rsidRDefault="00EC5413"/>
    <w:p w14:paraId="4FF4B900" w14:textId="77777777" w:rsidR="00EC5413" w:rsidRDefault="00EC5413">
      <w:pPr>
        <w:pStyle w:val="HeadingStrong"/>
      </w:pPr>
      <w:r>
        <w:t>Lea todo el prospecto detenidamente antes de tomar esta vacuna porque contiene información importante para usted.</w:t>
      </w:r>
    </w:p>
    <w:p w14:paraId="4FF4B901" w14:textId="77777777" w:rsidR="00EC5413" w:rsidRDefault="00EC5413">
      <w:pPr>
        <w:pStyle w:val="Bullet-"/>
        <w:numPr>
          <w:ilvl w:val="0"/>
          <w:numId w:val="23"/>
        </w:numPr>
      </w:pPr>
      <w:r>
        <w:t>Conserve este prospecto, ya que puede tener que volver a leerlo.</w:t>
      </w:r>
    </w:p>
    <w:p w14:paraId="4FF4B902" w14:textId="77777777" w:rsidR="00EC5413" w:rsidRDefault="00EC5413">
      <w:pPr>
        <w:pStyle w:val="Bullet-"/>
        <w:numPr>
          <w:ilvl w:val="0"/>
          <w:numId w:val="23"/>
        </w:numPr>
      </w:pPr>
      <w:r>
        <w:t>Si tiene alguna duda, consulte a su médico, farmacéutico o enfermero.</w:t>
      </w:r>
    </w:p>
    <w:p w14:paraId="4FF4B903" w14:textId="77777777" w:rsidR="00EC5413" w:rsidRDefault="00EC5413">
      <w:pPr>
        <w:pStyle w:val="Bullet-"/>
        <w:numPr>
          <w:ilvl w:val="0"/>
          <w:numId w:val="23"/>
        </w:numPr>
      </w:pPr>
      <w:r>
        <w:t>Esta vacuna se le ha recetado solamente a usted, y no debe dársela a otras personas.</w:t>
      </w:r>
    </w:p>
    <w:p w14:paraId="4FF4B904" w14:textId="7F31D962" w:rsidR="00EC5413" w:rsidRDefault="00EC5413">
      <w:pPr>
        <w:pStyle w:val="Bullet-"/>
        <w:numPr>
          <w:ilvl w:val="0"/>
          <w:numId w:val="23"/>
        </w:numPr>
      </w:pPr>
      <w:r>
        <w:t>Si experimenta efectos adversos, consulte a su médico, farmacéutico o enfermero, incluso si se trata de efectos adversos que no aparecen en este prospecto. Ver sección 4.</w:t>
      </w:r>
    </w:p>
    <w:p w14:paraId="4FF4B905" w14:textId="77777777" w:rsidR="00EC5413" w:rsidRDefault="00EC5413"/>
    <w:p w14:paraId="4FF4B906" w14:textId="77777777" w:rsidR="00EC5413" w:rsidRDefault="00EC5413">
      <w:pPr>
        <w:pStyle w:val="HeadingStrong"/>
      </w:pPr>
      <w:r>
        <w:t>Contenido del prospecto</w:t>
      </w:r>
    </w:p>
    <w:p w14:paraId="4FF4B907" w14:textId="77777777" w:rsidR="00EC5413" w:rsidRDefault="00EC5413">
      <w:pPr>
        <w:keepNext/>
      </w:pPr>
    </w:p>
    <w:p w14:paraId="4FF4B908" w14:textId="77777777" w:rsidR="00EC5413" w:rsidRDefault="00EC5413">
      <w:r>
        <w:t>1.</w:t>
      </w:r>
      <w:r>
        <w:tab/>
        <w:t>Qué es Vaxchora y para qué se utiliza</w:t>
      </w:r>
    </w:p>
    <w:p w14:paraId="4FF4B909" w14:textId="77777777" w:rsidR="00EC5413" w:rsidRDefault="00EC5413">
      <w:r>
        <w:t>2.</w:t>
      </w:r>
      <w:r>
        <w:tab/>
        <w:t>Qué necesita saber antes de empezar a tomar Vaxchora</w:t>
      </w:r>
    </w:p>
    <w:p w14:paraId="4FF4B90A" w14:textId="77777777" w:rsidR="00EC5413" w:rsidRDefault="00EC5413">
      <w:r>
        <w:t>3.</w:t>
      </w:r>
      <w:r>
        <w:tab/>
        <w:t>Cómo tomar Vaxchora</w:t>
      </w:r>
    </w:p>
    <w:p w14:paraId="4FF4B90B" w14:textId="77777777" w:rsidR="00EC5413" w:rsidRDefault="00EC5413">
      <w:r>
        <w:t>4.</w:t>
      </w:r>
      <w:r>
        <w:tab/>
        <w:t>Posibles efectos adversos</w:t>
      </w:r>
    </w:p>
    <w:p w14:paraId="4FF4B90C" w14:textId="77777777" w:rsidR="00EC5413" w:rsidRDefault="00EC5413">
      <w:r>
        <w:t>5.</w:t>
      </w:r>
      <w:r>
        <w:tab/>
        <w:t>Conservación de Vaxchora</w:t>
      </w:r>
    </w:p>
    <w:p w14:paraId="4FF4B90D" w14:textId="77777777" w:rsidR="00EC5413" w:rsidRDefault="00EC5413">
      <w:r>
        <w:t>6.</w:t>
      </w:r>
      <w:r>
        <w:tab/>
        <w:t>Contenido del envase e información adicional</w:t>
      </w:r>
    </w:p>
    <w:p w14:paraId="4FF4B90E" w14:textId="77777777" w:rsidR="00EC5413" w:rsidRDefault="00EC5413"/>
    <w:p w14:paraId="4FF4B90F" w14:textId="77777777" w:rsidR="00EC5413" w:rsidRDefault="00EC5413"/>
    <w:p w14:paraId="4FF4B910" w14:textId="77777777" w:rsidR="00EC5413" w:rsidRDefault="00EC5413">
      <w:pPr>
        <w:pStyle w:val="Heading1"/>
      </w:pPr>
      <w:r>
        <w:t>1.</w:t>
      </w:r>
      <w:r>
        <w:tab/>
        <w:t>Qué es Vaxchora y para qué se utiliza</w:t>
      </w:r>
    </w:p>
    <w:p w14:paraId="4FF4B911" w14:textId="77777777" w:rsidR="00EC5413" w:rsidRDefault="00EC5413">
      <w:pPr>
        <w:keepNext/>
      </w:pPr>
    </w:p>
    <w:p w14:paraId="4FF4B912" w14:textId="77777777" w:rsidR="00EC5413" w:rsidRDefault="00EC5413">
      <w:r>
        <w:t>Vaxchora es una vacuna oral frente al cólera que estimula la defensa inmunológica en el intestino. La vacuna se utiliza para la protección contra el cólera en adultos y niños a partir de 2 años. La vacuna debe tomarse como mínimo 10 días antes de viajar a una zona afectada por el cólera.</w:t>
      </w:r>
    </w:p>
    <w:p w14:paraId="4FF4B913" w14:textId="77777777" w:rsidR="00EC5413" w:rsidRDefault="00EC5413"/>
    <w:p w14:paraId="4FF4B914" w14:textId="77777777" w:rsidR="00EC5413" w:rsidRPr="0079404B" w:rsidRDefault="00EC5413">
      <w:pPr>
        <w:pStyle w:val="HeadingStrong"/>
        <w:rPr>
          <w:b w:val="0"/>
          <w:bCs w:val="0"/>
          <w:i/>
          <w:iCs/>
        </w:rPr>
      </w:pPr>
      <w:r w:rsidRPr="0079404B">
        <w:rPr>
          <w:b w:val="0"/>
          <w:bCs w:val="0"/>
          <w:i/>
          <w:iCs/>
        </w:rPr>
        <w:t>Cómo funciona Vaxchora</w:t>
      </w:r>
    </w:p>
    <w:p w14:paraId="4FF4B915" w14:textId="77777777" w:rsidR="00EC5413" w:rsidRDefault="00EC5413">
      <w:pPr>
        <w:keepNext/>
      </w:pPr>
    </w:p>
    <w:p w14:paraId="4FF4B916" w14:textId="77777777" w:rsidR="00EC5413" w:rsidRDefault="00EC5413">
      <w:r>
        <w:t>Vaxchora prepara el sistema inmunitario (las defensas del organismo) para defenderse del cólera. Cuando la persona toma la vacuna, el sistema inmunitario produce unas proteínas llamadas anticuerpos contra las bacterias del cólera y su toxina, una sustancia perjudicial que ocasiona la diarrea. De esta manera, el sistema inmunitario queda preparado para luchar contra las bacterias del cólera si la persona entra en contacto con ellas.</w:t>
      </w:r>
    </w:p>
    <w:p w14:paraId="4FF4B917" w14:textId="77777777" w:rsidR="00EC5413" w:rsidRDefault="00EC5413"/>
    <w:p w14:paraId="4FF4B918" w14:textId="77777777" w:rsidR="00EC5413" w:rsidRDefault="00EC5413"/>
    <w:p w14:paraId="4FF4B919" w14:textId="77777777" w:rsidR="00EC5413" w:rsidRDefault="00EC5413">
      <w:pPr>
        <w:pStyle w:val="Heading1"/>
      </w:pPr>
      <w:r>
        <w:t>2.</w:t>
      </w:r>
      <w:r>
        <w:tab/>
        <w:t>Qué necesita saber antes de empezar a tomar Vaxchora</w:t>
      </w:r>
    </w:p>
    <w:p w14:paraId="4FF4B91A" w14:textId="77777777" w:rsidR="00EC5413" w:rsidRDefault="00EC5413">
      <w:pPr>
        <w:keepNext/>
      </w:pPr>
    </w:p>
    <w:p w14:paraId="4FF4B91B" w14:textId="77777777" w:rsidR="00EC5413" w:rsidRDefault="00EC5413">
      <w:pPr>
        <w:pStyle w:val="HeadingStrong"/>
      </w:pPr>
      <w:r>
        <w:t>No tome Vaxchora:</w:t>
      </w:r>
    </w:p>
    <w:p w14:paraId="4FF4B91D" w14:textId="00B8FE06" w:rsidR="00EC5413" w:rsidRDefault="00EC5413">
      <w:pPr>
        <w:pStyle w:val="Bullet-"/>
        <w:numPr>
          <w:ilvl w:val="0"/>
          <w:numId w:val="23"/>
        </w:numPr>
      </w:pPr>
      <w:r>
        <w:t>si es alérgico a alguno de los componentes de este medicamento (incluidos en la sección 6).</w:t>
      </w:r>
    </w:p>
    <w:p w14:paraId="4FF4B91E" w14:textId="77777777" w:rsidR="00EC5413" w:rsidRDefault="00EC5413">
      <w:pPr>
        <w:pStyle w:val="Bullet-"/>
        <w:numPr>
          <w:ilvl w:val="0"/>
          <w:numId w:val="23"/>
        </w:numPr>
      </w:pPr>
      <w:r>
        <w:t>si su sistema inmunitario está debilitado, ya sea desde el nacimiento o por estar recibiendo tratamientos que lo debiliten, por ejemplo, altas dosis de corticoides, medicamentos oncológicos o radioterapia.</w:t>
      </w:r>
    </w:p>
    <w:p w14:paraId="4FF4B91F" w14:textId="77777777" w:rsidR="00EC5413" w:rsidRDefault="00EC5413"/>
    <w:p w14:paraId="4FF4B920" w14:textId="77777777" w:rsidR="00EC5413" w:rsidRDefault="00EC5413">
      <w:pPr>
        <w:pStyle w:val="HeadingStrong"/>
      </w:pPr>
      <w:r>
        <w:t>Advertencias y precauciones</w:t>
      </w:r>
    </w:p>
    <w:p w14:paraId="4FF4B921" w14:textId="77777777" w:rsidR="00EC5413" w:rsidRDefault="00EC5413">
      <w:r>
        <w:t>Consulte a su médico, farmacéutico o enfermero antes de tomar Vaxchora.</w:t>
      </w:r>
    </w:p>
    <w:p w14:paraId="4FF4B922" w14:textId="77777777" w:rsidR="00EC5413" w:rsidRPr="0079404B" w:rsidRDefault="00EC5413" w:rsidP="00F66433">
      <w:pPr>
        <w:numPr>
          <w:ilvl w:val="12"/>
          <w:numId w:val="0"/>
        </w:numPr>
      </w:pPr>
    </w:p>
    <w:p w14:paraId="4FF4B923" w14:textId="77777777" w:rsidR="00EC5413" w:rsidRPr="00F66433" w:rsidRDefault="00EC5413" w:rsidP="00F66433">
      <w:pPr>
        <w:numPr>
          <w:ilvl w:val="12"/>
          <w:numId w:val="0"/>
        </w:numPr>
      </w:pPr>
      <w:r w:rsidRPr="0079404B">
        <w:t>Póngase en cont</w:t>
      </w:r>
      <w:r>
        <w:t>acto con un médico inmediatament</w:t>
      </w:r>
      <w:r w:rsidRPr="0079404B">
        <w:t xml:space="preserve">e si </w:t>
      </w:r>
      <w:r>
        <w:t>experimenta</w:t>
      </w:r>
      <w:r w:rsidRPr="0079404B">
        <w:t xml:space="preserve"> los siguientes efectos adversos graves </w:t>
      </w:r>
      <w:r w:rsidRPr="00F66433">
        <w:t>(</w:t>
      </w:r>
      <w:r w:rsidRPr="0079404B">
        <w:t>ver tambi</w:t>
      </w:r>
      <w:r>
        <w:t>én la sección</w:t>
      </w:r>
      <w:r w:rsidRPr="00F66433">
        <w:t> 4):</w:t>
      </w:r>
    </w:p>
    <w:p w14:paraId="4FF4B924" w14:textId="5C6E8356" w:rsidR="00EC5413" w:rsidRPr="007327E2" w:rsidRDefault="00EC5413" w:rsidP="00F66433">
      <w:pPr>
        <w:numPr>
          <w:ilvl w:val="12"/>
          <w:numId w:val="0"/>
        </w:numPr>
      </w:pPr>
      <w:r w:rsidRPr="007327E2">
        <w:t>•</w:t>
      </w:r>
      <w:r w:rsidRPr="007327E2">
        <w:tab/>
      </w:r>
      <w:r w:rsidRPr="0079404B">
        <w:t xml:space="preserve">reacciones alérgicas graves que provocan </w:t>
      </w:r>
      <w:r>
        <w:t xml:space="preserve">hinchazón en la cara o la garganta, urticaria, exantema pruriginoso y falta de aliento </w:t>
      </w:r>
      <w:r w:rsidR="00E53E62">
        <w:t>y/</w:t>
      </w:r>
      <w:r>
        <w:t>o una bajada de la presión arterial y desvanecimiento</w:t>
      </w:r>
      <w:r w:rsidRPr="007327E2">
        <w:t>.</w:t>
      </w:r>
    </w:p>
    <w:p w14:paraId="4FF4B925" w14:textId="77777777" w:rsidR="00EC5413" w:rsidRPr="007327E2" w:rsidRDefault="00EC5413" w:rsidP="00F66433">
      <w:pPr>
        <w:numPr>
          <w:ilvl w:val="12"/>
          <w:numId w:val="0"/>
        </w:numPr>
      </w:pPr>
    </w:p>
    <w:p w14:paraId="4FF4B926" w14:textId="77777777" w:rsidR="00EC5413" w:rsidRPr="007327E2" w:rsidRDefault="00EC5413" w:rsidP="00F66433">
      <w:pPr>
        <w:numPr>
          <w:ilvl w:val="12"/>
          <w:numId w:val="0"/>
        </w:numPr>
      </w:pPr>
      <w:r w:rsidRPr="0079404B">
        <w:t>Si</w:t>
      </w:r>
      <w:r w:rsidRPr="007327E2">
        <w:t xml:space="preserve"> present</w:t>
      </w:r>
      <w:r w:rsidRPr="0079404B">
        <w:t>a cualquiera de los siguientes efectos o una combinación de n</w:t>
      </w:r>
      <w:r>
        <w:t>á</w:t>
      </w:r>
      <w:r w:rsidRPr="007327E2">
        <w:t>usea</w:t>
      </w:r>
      <w:r>
        <w:t>s, vómitos, diarr</w:t>
      </w:r>
      <w:r w:rsidRPr="007327E2">
        <w:t xml:space="preserve">ea o </w:t>
      </w:r>
      <w:r>
        <w:t>dolor abdominal</w:t>
      </w:r>
      <w:r w:rsidRPr="007327E2">
        <w:t xml:space="preserve">, </w:t>
      </w:r>
      <w:r>
        <w:t>consulte a su médico, farmacéutico o enfermero antes de tomar la vacuna</w:t>
      </w:r>
      <w:r w:rsidRPr="007327E2">
        <w:t xml:space="preserve">. Se debe </w:t>
      </w:r>
      <w:r w:rsidRPr="007327E2">
        <w:lastRenderedPageBreak/>
        <w:t>posponer la vacunaci</w:t>
      </w:r>
      <w:r w:rsidRPr="0079404B">
        <w:t>ón hasta después de la recuperaci</w:t>
      </w:r>
      <w:r>
        <w:t>ón, ya que la protección frente al cólera puede verse disminuid</w:t>
      </w:r>
      <w:r w:rsidRPr="007327E2">
        <w:t>a.</w:t>
      </w:r>
    </w:p>
    <w:p w14:paraId="4FF4B927" w14:textId="77777777" w:rsidR="00EC5413" w:rsidRPr="007327E2" w:rsidRDefault="00EC5413"/>
    <w:p w14:paraId="4FF4B928" w14:textId="53F5CAAD" w:rsidR="00EC5413" w:rsidRDefault="00EC5413">
      <w:r>
        <w:t>No todas las personas que tomen esta vacuna estarán completamente protegidas contra el cólera. Es importante seguir los consejos de higiene y tener cuidado especial con los alimentos, el cambio de pañales y el agua que se consuman en las zonas afectadas por el cólera.</w:t>
      </w:r>
    </w:p>
    <w:p w14:paraId="4FF4B929" w14:textId="77777777" w:rsidR="00EC5413" w:rsidRDefault="00EC5413"/>
    <w:p w14:paraId="4FF4B92A" w14:textId="515469DC" w:rsidR="00EC5413" w:rsidRDefault="00EC5413">
      <w:r>
        <w:t>Esta vacuna podría ser menos eficaz si tiene VIH.</w:t>
      </w:r>
    </w:p>
    <w:p w14:paraId="4FF4B92B" w14:textId="77777777" w:rsidR="00EC5413" w:rsidRDefault="00EC5413"/>
    <w:p w14:paraId="4FF4B92C" w14:textId="2E6DED52" w:rsidR="00EC5413" w:rsidRDefault="00EC5413">
      <w:r>
        <w:t>Las bacterias de la vacuna podrían estar presentes en las heces durante como mínimo 7 días después de tomar la vacuna. Para evitar la contaminación, lávese bien las manos después de ir al baño y antes de preparar alimentos durante al menos 14 días después de tomar esta vacuna.</w:t>
      </w:r>
    </w:p>
    <w:p w14:paraId="4FF4B92D" w14:textId="77777777" w:rsidR="00EC5413" w:rsidRDefault="00EC5413"/>
    <w:p w14:paraId="4FF4B92E" w14:textId="77777777" w:rsidR="00EC5413" w:rsidRDefault="00EC5413">
      <w:pPr>
        <w:pStyle w:val="HeadingStrong"/>
      </w:pPr>
      <w:r>
        <w:t>Niños y adolescentes</w:t>
      </w:r>
    </w:p>
    <w:p w14:paraId="4FF4B92F" w14:textId="77777777" w:rsidR="00EC5413" w:rsidRDefault="00EC5413">
      <w:r>
        <w:t>No administre esta vacuna a niños menores de 2 años, puesto que se desconoce si funciona bien en este grupo de edad.</w:t>
      </w:r>
    </w:p>
    <w:p w14:paraId="4FF4B930" w14:textId="77777777" w:rsidR="00EC5413" w:rsidRDefault="00EC5413"/>
    <w:p w14:paraId="4FF4B931" w14:textId="77777777" w:rsidR="00EC5413" w:rsidRDefault="00EC5413">
      <w:pPr>
        <w:pStyle w:val="HeadingStrong"/>
      </w:pPr>
      <w:r>
        <w:t>Otros medicamentos y Vaxchora</w:t>
      </w:r>
    </w:p>
    <w:p w14:paraId="4FF4B932" w14:textId="4A3638CE" w:rsidR="00EC5413" w:rsidRDefault="00EC5413">
      <w:r>
        <w:t>Informe a su médico, farmacéutico o enfermero si está tomando, ha tomado recientemente o pudiera tener que tomar cualquier otro medicamento o vacuna. Se incluyen también medicamentos obtenidos sin receta, incluida la fitoterapia. Esto se debe a que esta vacuna puede afectar a la forma en que actúan otros medicamentos o vacunas.</w:t>
      </w:r>
    </w:p>
    <w:p w14:paraId="4FF4B933" w14:textId="77777777" w:rsidR="00EC5413" w:rsidRDefault="00EC5413"/>
    <w:p w14:paraId="4FF4B934" w14:textId="77777777" w:rsidR="00EC5413" w:rsidRDefault="00EC5413">
      <w:r>
        <w:t>En especial, consulte a su médico, farmacéutico o enfermero si toma:</w:t>
      </w:r>
    </w:p>
    <w:p w14:paraId="4FF4B935" w14:textId="05193868" w:rsidR="00EC5413" w:rsidRPr="00311AE6" w:rsidRDefault="00EC5413">
      <w:pPr>
        <w:pStyle w:val="Bullet"/>
        <w:numPr>
          <w:ilvl w:val="0"/>
          <w:numId w:val="22"/>
        </w:numPr>
      </w:pPr>
      <w:r w:rsidRPr="00311AE6">
        <w:t>Antibióticos: es posible que esta vacuna no funcione si se toma de forma simultánea con antibióticos. No tome esta vacuna antes de 14 días después de haber tomado la última dosis de un antibiótico. Evite los antibióticos como mínimo 10 días después de tomar esta vacuna.</w:t>
      </w:r>
    </w:p>
    <w:p w14:paraId="4FF4B936" w14:textId="1026FDD5" w:rsidR="00EC5413" w:rsidRPr="00311AE6" w:rsidRDefault="00EC5413">
      <w:pPr>
        <w:pStyle w:val="Bullet"/>
        <w:numPr>
          <w:ilvl w:val="0"/>
          <w:numId w:val="22"/>
        </w:numPr>
      </w:pPr>
      <w:r w:rsidRPr="00311AE6">
        <w:t>Cloroquina para la prevención de la malaria: es posible que esta vacuna no funcione si se toma de forma simultánea con la cloroquina. Tome esta vacuna como mínimo 10 días antes de empezar a tomar cloroquina o 14 días después del tratamiento con cloroquina.</w:t>
      </w:r>
    </w:p>
    <w:p w14:paraId="4FF4B937" w14:textId="15C5F5FE" w:rsidR="00EC5413" w:rsidRPr="00311AE6" w:rsidRDefault="00EC5413">
      <w:pPr>
        <w:pStyle w:val="Bullet"/>
        <w:numPr>
          <w:ilvl w:val="0"/>
          <w:numId w:val="22"/>
        </w:numPr>
      </w:pPr>
      <w:r w:rsidRPr="00311AE6">
        <w:t>La vacuna antitifoidea Ty21a: es posible que esta vacuna no funcione si se toma de forma simultánea con Ty21a. Debe tomar esta vacuna como mínimo 2 horas antes o después de Ty21a.</w:t>
      </w:r>
    </w:p>
    <w:p w14:paraId="4FF4B938" w14:textId="77777777" w:rsidR="00EC5413" w:rsidRDefault="00EC5413"/>
    <w:p w14:paraId="4FF4B939" w14:textId="0FCC4090" w:rsidR="00EC5413" w:rsidRDefault="00EC5413">
      <w:r>
        <w:t>Si alguna de las opciones anteriores se le puede aplicar, consulte a</w:t>
      </w:r>
      <w:r w:rsidDel="000E1AD4">
        <w:t xml:space="preserve"> </w:t>
      </w:r>
      <w:r>
        <w:t>su médico, farmacéutico o enfermero antes de tomar esta vacuna.</w:t>
      </w:r>
    </w:p>
    <w:p w14:paraId="4FF4B93A" w14:textId="77777777" w:rsidR="00EC5413" w:rsidRDefault="00EC5413"/>
    <w:p w14:paraId="4FF4B93B" w14:textId="77777777" w:rsidR="00EC5413" w:rsidRDefault="00EC5413">
      <w:pPr>
        <w:pStyle w:val="HeadingStrong"/>
      </w:pPr>
      <w:r>
        <w:t>Toma de Vaxchora con alimentos y bebidas</w:t>
      </w:r>
    </w:p>
    <w:p w14:paraId="4FF4B93C" w14:textId="29D58671" w:rsidR="00EC5413" w:rsidRDefault="00EC5413">
      <w:r>
        <w:t>No debe comer ni beber durante 60 minutos antes y después de la toma de esta vacuna, puesto que esto podría interferir con la eficacia de la vacuna.</w:t>
      </w:r>
    </w:p>
    <w:p w14:paraId="4FF4B93D" w14:textId="77777777" w:rsidR="00EC5413" w:rsidRDefault="00EC5413"/>
    <w:p w14:paraId="4FF4B93E" w14:textId="77777777" w:rsidR="00EC5413" w:rsidRDefault="00EC5413">
      <w:pPr>
        <w:pStyle w:val="HeadingStrong"/>
      </w:pPr>
      <w:r>
        <w:t>Embarazo, lactancia y fertilidad</w:t>
      </w:r>
    </w:p>
    <w:p w14:paraId="4FF4B93F" w14:textId="77777777" w:rsidR="00EC5413" w:rsidRDefault="00EC5413">
      <w:r>
        <w:t>Si está embarazada o en periodo de lactancia, cree que podría estar embarazada o tiene intención de quedarse embarazada, consulte a su médico o farmacéutico antes de utilizar este medicamento.</w:t>
      </w:r>
    </w:p>
    <w:p w14:paraId="4FF4B940" w14:textId="77777777" w:rsidR="00EC5413" w:rsidRDefault="00EC5413"/>
    <w:p w14:paraId="4FF4B941" w14:textId="77777777" w:rsidR="00EC5413" w:rsidRDefault="00EC5413">
      <w:pPr>
        <w:pStyle w:val="HeadingStrong"/>
      </w:pPr>
      <w:r>
        <w:t>Conducción y uso de máquinas</w:t>
      </w:r>
    </w:p>
    <w:p w14:paraId="4FF4B943" w14:textId="547EDA71" w:rsidR="00EC5413" w:rsidRDefault="00EC5413">
      <w:r>
        <w:t>La influencia de la vacuna Vaxchora sobre la capacidad para conducir y utilizar máquinas es nula o insignificante. No obstante, algunos de los efectos mecionados en la sección 4 “Posibles efectos adversos” pueden afectar temporalmente a la capaciadad</w:t>
      </w:r>
      <w:r w:rsidRPr="006D4BAB">
        <w:t xml:space="preserve"> </w:t>
      </w:r>
      <w:r>
        <w:t>para conducir o utilizar máquinas. No conduzca ni utilice máquinas si no se encuentra bien después de la vacunación.</w:t>
      </w:r>
    </w:p>
    <w:p w14:paraId="4FF4B944" w14:textId="77777777" w:rsidR="00EC5413" w:rsidRDefault="00EC5413"/>
    <w:p w14:paraId="4FF4B945" w14:textId="77777777" w:rsidR="00EC5413" w:rsidRDefault="00EC5413">
      <w:pPr>
        <w:pStyle w:val="HeadingStrong"/>
      </w:pPr>
      <w:r>
        <w:t>Vaxchora contiene lactosa, sacarosa y sodio</w:t>
      </w:r>
    </w:p>
    <w:p w14:paraId="4FF4B947" w14:textId="00CFF1E9" w:rsidR="00EC5413" w:rsidRDefault="00EC5413">
      <w:r>
        <w:t xml:space="preserve">Si su médico le ha </w:t>
      </w:r>
      <w:r w:rsidRPr="00BF1FA1">
        <w:t>indicado</w:t>
      </w:r>
      <w:r>
        <w:t xml:space="preserve"> que </w:t>
      </w:r>
      <w:r w:rsidRPr="00BF1FA1">
        <w:t xml:space="preserve">padece una </w:t>
      </w:r>
      <w:r>
        <w:t xml:space="preserve">intolerancia a </w:t>
      </w:r>
      <w:r w:rsidRPr="00BF1FA1">
        <w:t>ciertos</w:t>
      </w:r>
      <w:r>
        <w:t xml:space="preserve"> azúcares, </w:t>
      </w:r>
      <w:r w:rsidRPr="00BF1FA1">
        <w:t>consulte</w:t>
      </w:r>
      <w:r w:rsidDel="00BF1FA1">
        <w:t xml:space="preserve"> </w:t>
      </w:r>
      <w:r>
        <w:t>con él antes de tomar este medicamento.</w:t>
      </w:r>
    </w:p>
    <w:p w14:paraId="4FF4B948" w14:textId="77777777" w:rsidR="00EC5413" w:rsidRPr="00BF1FA1" w:rsidRDefault="00EC5413"/>
    <w:p w14:paraId="4FF4B949" w14:textId="70A7439B" w:rsidR="00EC5413" w:rsidRDefault="00EC5413">
      <w:r>
        <w:t>Esta vacuna contiene 863 mg de sodio (el componente principal de la sal de mesa/para cocinar) por dosis. Esto equivale al 43 % de la ingesta diaria de sodio recomendada para un adulto. Téngalo en cuenta si sigue una dieta con control de sodio.</w:t>
      </w:r>
    </w:p>
    <w:p w14:paraId="4FF4B94A" w14:textId="77777777" w:rsidR="00EC5413" w:rsidRDefault="00EC5413"/>
    <w:p w14:paraId="4FF4B94B" w14:textId="77777777" w:rsidR="00EC5413" w:rsidRDefault="00EC5413"/>
    <w:p w14:paraId="4FF4B94C" w14:textId="77777777" w:rsidR="00EC5413" w:rsidRDefault="00EC5413">
      <w:pPr>
        <w:pStyle w:val="Heading1"/>
      </w:pPr>
      <w:r>
        <w:t>3.</w:t>
      </w:r>
      <w:r>
        <w:tab/>
        <w:t>Cómo tomar Vaxchora</w:t>
      </w:r>
    </w:p>
    <w:p w14:paraId="4FF4B94D" w14:textId="77777777" w:rsidR="00EC5413" w:rsidRDefault="00EC5413">
      <w:pPr>
        <w:keepNext/>
      </w:pPr>
    </w:p>
    <w:p w14:paraId="4FF4B94E" w14:textId="484FA985" w:rsidR="00EC5413" w:rsidRDefault="00EC5413">
      <w:r>
        <w:t>Siga exactamente las instrucciones de administración de esta vacuna indicadas por su médico, farmacéutico o enfermero. En caso de duda, consulte de nuevo a su médico, farmacéutico o enfermero.</w:t>
      </w:r>
    </w:p>
    <w:p w14:paraId="4FF4B94F" w14:textId="77777777" w:rsidR="00EC5413" w:rsidRDefault="00EC5413"/>
    <w:p w14:paraId="4FF4B950" w14:textId="77777777" w:rsidR="00EC5413" w:rsidRDefault="00EC5413">
      <w:r>
        <w:t xml:space="preserve">La dosis recomendada es el contenido de los dos sobres en la caja. Sin embargo, para </w:t>
      </w:r>
      <w:r w:rsidRPr="00794102">
        <w:t>niños</w:t>
      </w:r>
      <w:r>
        <w:t xml:space="preserve"> de entre 2 y menos de 6 años, tome nota del Paso 8 de las instrucciones sobre cómo preparar la vacuna, que se muestra a continuación.</w:t>
      </w:r>
    </w:p>
    <w:p w14:paraId="4FF4B951" w14:textId="77777777" w:rsidR="00EC5413" w:rsidRDefault="00EC5413"/>
    <w:p w14:paraId="4FF4B952" w14:textId="77777777" w:rsidR="00EC5413" w:rsidRDefault="00EC5413">
      <w:r>
        <w:t>La protección contra el cólera se establece en 10 días después de la toma de Vaxchora. Su médico, farmacéutico o enfermero le indicará cuánto tiempo antes de viajar debe tomar la vacuna.</w:t>
      </w:r>
    </w:p>
    <w:p w14:paraId="4FF4B953" w14:textId="77777777" w:rsidR="00EC5413" w:rsidRDefault="00EC5413"/>
    <w:p w14:paraId="4FF4B954" w14:textId="77777777" w:rsidR="00EC5413" w:rsidRDefault="00EC5413">
      <w:pPr>
        <w:pStyle w:val="HeadingStrong"/>
      </w:pPr>
      <w:r>
        <w:t>Instrucciones:</w:t>
      </w:r>
    </w:p>
    <w:p w14:paraId="4FF4B955" w14:textId="77777777" w:rsidR="00EC5413" w:rsidRDefault="00EC5413"/>
    <w:tbl>
      <w:tblPr>
        <w:tblW w:w="932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A0" w:firstRow="1" w:lastRow="0" w:firstColumn="1" w:lastColumn="0" w:noHBand="0" w:noVBand="0"/>
      </w:tblPr>
      <w:tblGrid>
        <w:gridCol w:w="1242"/>
        <w:gridCol w:w="3686"/>
        <w:gridCol w:w="4394"/>
      </w:tblGrid>
      <w:tr w:rsidR="00EC5413" w14:paraId="4FF4B965" w14:textId="77777777">
        <w:trPr>
          <w:cantSplit/>
          <w:trHeight w:val="2600"/>
        </w:trPr>
        <w:tc>
          <w:tcPr>
            <w:tcW w:w="9309" w:type="dxa"/>
            <w:gridSpan w:val="3"/>
          </w:tcPr>
          <w:p w14:paraId="4FF4B956" w14:textId="77777777" w:rsidR="00EC5413" w:rsidRPr="004B519F" w:rsidRDefault="00EC5413">
            <w:pPr>
              <w:pStyle w:val="HeadingStrong"/>
              <w:jc w:val="center"/>
              <w:rPr>
                <w:noProof/>
              </w:rPr>
            </w:pPr>
            <w:r w:rsidRPr="004B519F">
              <w:rPr>
                <w:noProof/>
              </w:rPr>
              <w:t>SIGA EXACTAMENTE LAS INSTRUCCIONES DE PREPARACIÓN DE ESTA VACUNA CONTENIDAS EN ESTE PROSPECTO</w:t>
            </w:r>
          </w:p>
          <w:p w14:paraId="4FF4B957" w14:textId="77777777" w:rsidR="00EC5413" w:rsidRPr="004B519F" w:rsidRDefault="00EC5413">
            <w:pPr>
              <w:pStyle w:val="NormalKeep"/>
              <w:rPr>
                <w:noProof/>
              </w:rPr>
            </w:pPr>
          </w:p>
          <w:p w14:paraId="4FF4B958" w14:textId="77777777" w:rsidR="00EC5413" w:rsidRPr="004B519F" w:rsidRDefault="00EC5413">
            <w:pPr>
              <w:pStyle w:val="HeadingStrong"/>
              <w:rPr>
                <w:noProof/>
              </w:rPr>
            </w:pPr>
            <w:r w:rsidRPr="004B519F">
              <w:rPr>
                <w:noProof/>
              </w:rPr>
              <w:t>Lea lo siguiente antes de empezar:</w:t>
            </w:r>
          </w:p>
          <w:p w14:paraId="4FF4B959" w14:textId="77777777" w:rsidR="00EC5413" w:rsidRDefault="00EC5413">
            <w:r>
              <w:t>Es posible que Vaxchora no funcione si ocurre lo siguiente:</w:t>
            </w:r>
          </w:p>
          <w:p w14:paraId="4FF4B95A" w14:textId="77777777" w:rsidR="00EC5413" w:rsidRDefault="00EC5413" w:rsidP="000B6425">
            <w:pPr>
              <w:pStyle w:val="Bullet"/>
              <w:numPr>
                <w:ilvl w:val="0"/>
                <w:numId w:val="22"/>
              </w:numPr>
              <w:ind w:left="1310" w:hanging="567"/>
            </w:pPr>
            <w:r>
              <w:t>Almacenamiento incorrecto; la vacuna debe guardarse en la nevera (entre 2 </w:t>
            </w:r>
            <w:r w:rsidRPr="009E4B2F">
              <w:rPr>
                <w:rFonts w:ascii="Symbol" w:eastAsia="Times New Roman" w:hAnsi="Symbol"/>
              </w:rPr>
              <w:t></w:t>
            </w:r>
            <w:r w:rsidRPr="009E4B2F">
              <w:t>C</w:t>
            </w:r>
            <w:r>
              <w:t xml:space="preserve"> y 8 </w:t>
            </w:r>
            <w:r w:rsidRPr="009E4B2F">
              <w:rPr>
                <w:rFonts w:ascii="Symbol" w:eastAsia="Times New Roman" w:hAnsi="Symbol"/>
              </w:rPr>
              <w:t></w:t>
            </w:r>
            <w:r w:rsidRPr="009E4B2F">
              <w:t>C</w:t>
            </w:r>
            <w:r>
              <w:t>).</w:t>
            </w:r>
          </w:p>
          <w:p w14:paraId="4FF4B95B" w14:textId="77777777" w:rsidR="00EC5413" w:rsidRDefault="00EC5413" w:rsidP="00CB06CB">
            <w:pPr>
              <w:pStyle w:val="Bullet"/>
              <w:numPr>
                <w:ilvl w:val="0"/>
                <w:numId w:val="22"/>
              </w:numPr>
              <w:ind w:left="1310" w:hanging="567"/>
            </w:pPr>
            <w:r>
              <w:t>Uso de la cantidad incorrecta de agua; deben usarse 100 ml.</w:t>
            </w:r>
          </w:p>
          <w:p w14:paraId="4FF4B95C" w14:textId="77777777" w:rsidR="00EC5413" w:rsidRDefault="00EC5413" w:rsidP="00CB06CB">
            <w:pPr>
              <w:pStyle w:val="Bullet"/>
              <w:numPr>
                <w:ilvl w:val="0"/>
                <w:numId w:val="22"/>
              </w:numPr>
              <w:ind w:left="1310" w:hanging="567"/>
            </w:pPr>
            <w:r>
              <w:t>Uso del tipo incorrecto de agua: debe usarse agua embotellada fría o a temperatura ambiente con o sin gas.</w:t>
            </w:r>
          </w:p>
          <w:p w14:paraId="4FF4B95D" w14:textId="33273FE3" w:rsidR="00EC5413" w:rsidRDefault="00EC5413" w:rsidP="00CB06CB">
            <w:pPr>
              <w:pStyle w:val="Bullet"/>
              <w:numPr>
                <w:ilvl w:val="0"/>
                <w:numId w:val="22"/>
              </w:numPr>
              <w:ind w:left="1310" w:hanging="567"/>
            </w:pPr>
            <w:r>
              <w:t>Mezcla de los sobres en el orden incorrecto; el sobre 1 debe añadirse al agua en primer lugar. Si los sobres se mezclan en el orden equivocado, deberá desechar la vacuna y solicitar una dosis de sustitución.</w:t>
            </w:r>
          </w:p>
          <w:p w14:paraId="4FF4B95E" w14:textId="77777777" w:rsidR="00EC5413" w:rsidRDefault="00EC5413" w:rsidP="00CB06CB">
            <w:pPr>
              <w:pStyle w:val="Bullet"/>
              <w:numPr>
                <w:ilvl w:val="0"/>
                <w:numId w:val="22"/>
              </w:numPr>
              <w:ind w:left="1310" w:hanging="567"/>
            </w:pPr>
            <w:r>
              <w:t>Debe evitarse comer y beber 60 minutos antes y despues de la toma de la vacuna, puesto que ello puede reducir la eficacia de la vacuna.</w:t>
            </w:r>
          </w:p>
          <w:p w14:paraId="4FF4B95F" w14:textId="77777777" w:rsidR="00EC5413" w:rsidRDefault="00EC5413"/>
          <w:p w14:paraId="4FF4B960" w14:textId="77777777" w:rsidR="00EC5413" w:rsidRDefault="00EC5413">
            <w:r>
              <w:t>No se toque los ojos durante la preparación de la vacuna para evitar la contaminación.</w:t>
            </w:r>
          </w:p>
          <w:p w14:paraId="4FF4B961" w14:textId="77777777" w:rsidR="00EC5413" w:rsidRDefault="00EC5413"/>
          <w:p w14:paraId="4FF4B962" w14:textId="77777777" w:rsidR="00EC5413" w:rsidRDefault="00EC5413">
            <w:r>
              <w:t>Si se produce un derrame de líquido o de polvo, limpie la superficie con agua caliente y jabón o con un desinfectante antibacteriano.</w:t>
            </w:r>
          </w:p>
          <w:p w14:paraId="4FF4B963" w14:textId="77777777" w:rsidR="00EC5413" w:rsidRDefault="00EC5413"/>
          <w:p w14:paraId="4FF4B964" w14:textId="77777777" w:rsidR="00EC5413" w:rsidRDefault="00EC5413">
            <w:r>
              <w:t>Si se produce un derrame considerable (más de unas cuantas gotas de líquido o granos de polvo), deseche la vacuna y pida una nueva a su médico o farmacéutico. NO tome el medicamento restante.</w:t>
            </w:r>
          </w:p>
        </w:tc>
      </w:tr>
      <w:tr w:rsidR="00EC5413" w14:paraId="4FF4B96E" w14:textId="77777777">
        <w:trPr>
          <w:cantSplit/>
        </w:trPr>
        <w:tc>
          <w:tcPr>
            <w:tcW w:w="1242" w:type="dxa"/>
            <w:tcBorders>
              <w:top w:val="single" w:sz="2" w:space="0" w:color="auto"/>
              <w:left w:val="single" w:sz="2" w:space="0" w:color="auto"/>
              <w:bottom w:val="single" w:sz="2" w:space="0" w:color="auto"/>
              <w:right w:val="nil"/>
            </w:tcBorders>
          </w:tcPr>
          <w:p w14:paraId="4FF4B966" w14:textId="77777777" w:rsidR="00EC5413" w:rsidRDefault="00EC5413">
            <w:r>
              <w:t>Paso 1</w:t>
            </w:r>
          </w:p>
        </w:tc>
        <w:tc>
          <w:tcPr>
            <w:tcW w:w="3686" w:type="dxa"/>
            <w:tcBorders>
              <w:top w:val="single" w:sz="2" w:space="0" w:color="auto"/>
              <w:left w:val="nil"/>
              <w:bottom w:val="single" w:sz="2" w:space="0" w:color="auto"/>
              <w:right w:val="nil"/>
            </w:tcBorders>
          </w:tcPr>
          <w:p w14:paraId="4FF4B967" w14:textId="77777777" w:rsidR="00EC5413" w:rsidRDefault="00EC5413">
            <w:pPr>
              <w:jc w:val="center"/>
            </w:pPr>
          </w:p>
        </w:tc>
        <w:tc>
          <w:tcPr>
            <w:tcW w:w="4394" w:type="dxa"/>
            <w:tcBorders>
              <w:top w:val="single" w:sz="2" w:space="0" w:color="auto"/>
              <w:left w:val="nil"/>
              <w:bottom w:val="single" w:sz="2" w:space="0" w:color="auto"/>
              <w:right w:val="single" w:sz="2" w:space="0" w:color="auto"/>
            </w:tcBorders>
          </w:tcPr>
          <w:p w14:paraId="4FF4B968" w14:textId="77777777" w:rsidR="00EC5413" w:rsidRDefault="00EC5413">
            <w:r>
              <w:t>Recopile el material:</w:t>
            </w:r>
          </w:p>
          <w:p w14:paraId="4FF4B969" w14:textId="77777777" w:rsidR="00EC5413" w:rsidRDefault="00EC5413">
            <w:pPr>
              <w:pStyle w:val="Bullet"/>
              <w:numPr>
                <w:ilvl w:val="0"/>
                <w:numId w:val="22"/>
              </w:numPr>
            </w:pPr>
            <w:r>
              <w:t>Vaso limpio</w:t>
            </w:r>
          </w:p>
          <w:p w14:paraId="4FF4B96A" w14:textId="77777777" w:rsidR="00EC5413" w:rsidRDefault="00EC5413">
            <w:pPr>
              <w:pStyle w:val="Bullet"/>
              <w:numPr>
                <w:ilvl w:val="0"/>
                <w:numId w:val="22"/>
              </w:numPr>
            </w:pPr>
            <w:r>
              <w:t>Utensilio para remover</w:t>
            </w:r>
          </w:p>
          <w:p w14:paraId="4FF4B96B" w14:textId="03CAC8E0" w:rsidR="00EC5413" w:rsidRDefault="00EC5413">
            <w:pPr>
              <w:pStyle w:val="Bullet"/>
              <w:numPr>
                <w:ilvl w:val="0"/>
                <w:numId w:val="22"/>
              </w:numPr>
            </w:pPr>
            <w:r>
              <w:t>Agua embotellada (con o sin gas, fría o a temperatura ambiente, 25 °C o menos)</w:t>
            </w:r>
          </w:p>
          <w:p w14:paraId="4FF4B96C" w14:textId="77777777" w:rsidR="00EC5413" w:rsidRDefault="00EC5413">
            <w:pPr>
              <w:pStyle w:val="Bullet"/>
              <w:numPr>
                <w:ilvl w:val="0"/>
                <w:numId w:val="22"/>
              </w:numPr>
            </w:pPr>
            <w:r>
              <w:t>Utensilio para medir 100 ml de agua embotellada (por ejemplo, vaso medidor)</w:t>
            </w:r>
          </w:p>
          <w:p w14:paraId="4FF4B96D" w14:textId="77777777" w:rsidR="00EC5413" w:rsidRDefault="00EC5413">
            <w:pPr>
              <w:pStyle w:val="Bullet"/>
              <w:numPr>
                <w:ilvl w:val="0"/>
                <w:numId w:val="22"/>
              </w:numPr>
            </w:pPr>
            <w:r>
              <w:t>Tijeras</w:t>
            </w:r>
          </w:p>
        </w:tc>
      </w:tr>
      <w:tr w:rsidR="00EC5413" w14:paraId="4FF4B973" w14:textId="77777777">
        <w:trPr>
          <w:cantSplit/>
        </w:trPr>
        <w:tc>
          <w:tcPr>
            <w:tcW w:w="1242" w:type="dxa"/>
            <w:tcBorders>
              <w:top w:val="single" w:sz="2" w:space="0" w:color="auto"/>
              <w:left w:val="single" w:sz="2" w:space="0" w:color="auto"/>
              <w:bottom w:val="single" w:sz="2" w:space="0" w:color="auto"/>
              <w:right w:val="nil"/>
            </w:tcBorders>
          </w:tcPr>
          <w:p w14:paraId="4FF4B96F" w14:textId="77777777" w:rsidR="00EC5413" w:rsidRDefault="00EC5413">
            <w:r>
              <w:t>Paso 2</w:t>
            </w:r>
          </w:p>
        </w:tc>
        <w:tc>
          <w:tcPr>
            <w:tcW w:w="3686" w:type="dxa"/>
            <w:tcBorders>
              <w:top w:val="single" w:sz="2" w:space="0" w:color="auto"/>
              <w:left w:val="nil"/>
              <w:bottom w:val="single" w:sz="2" w:space="0" w:color="auto"/>
              <w:right w:val="nil"/>
            </w:tcBorders>
          </w:tcPr>
          <w:p w14:paraId="4FF4B970" w14:textId="5B47D8FD" w:rsidR="00EC5413" w:rsidRDefault="00EE6F7E">
            <w:pPr>
              <w:jc w:val="center"/>
            </w:pPr>
            <w:r>
              <w:rPr>
                <w:lang w:eastAsia="es-ES"/>
              </w:rPr>
              <w:drawing>
                <wp:inline distT="0" distB="0" distL="0" distR="0" wp14:anchorId="4FF4BA26" wp14:editId="3F167308">
                  <wp:extent cx="1971675" cy="1419225"/>
                  <wp:effectExtent l="0" t="0" r="0" b="0"/>
                  <wp:docPr id="3"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1675" cy="1419225"/>
                          </a:xfrm>
                          <a:prstGeom prst="rect">
                            <a:avLst/>
                          </a:prstGeom>
                          <a:noFill/>
                          <a:ln>
                            <a:noFill/>
                          </a:ln>
                        </pic:spPr>
                      </pic:pic>
                    </a:graphicData>
                  </a:graphic>
                </wp:inline>
              </w:drawing>
            </w:r>
          </w:p>
        </w:tc>
        <w:tc>
          <w:tcPr>
            <w:tcW w:w="4394" w:type="dxa"/>
            <w:tcBorders>
              <w:top w:val="single" w:sz="2" w:space="0" w:color="auto"/>
              <w:left w:val="nil"/>
              <w:bottom w:val="single" w:sz="2" w:space="0" w:color="auto"/>
              <w:right w:val="single" w:sz="2" w:space="0" w:color="auto"/>
            </w:tcBorders>
          </w:tcPr>
          <w:p w14:paraId="4FF4B971" w14:textId="77777777" w:rsidR="00EC5413" w:rsidRDefault="00EC5413">
            <w:r>
              <w:t>Retire la vacuna de la nevera.</w:t>
            </w:r>
          </w:p>
          <w:p w14:paraId="4FF4B972" w14:textId="77777777" w:rsidR="00EC5413" w:rsidRDefault="00EC5413"/>
        </w:tc>
      </w:tr>
      <w:tr w:rsidR="00EC5413" w14:paraId="4FF4B97B" w14:textId="77777777">
        <w:trPr>
          <w:cantSplit/>
        </w:trPr>
        <w:tc>
          <w:tcPr>
            <w:tcW w:w="1242" w:type="dxa"/>
            <w:tcBorders>
              <w:top w:val="single" w:sz="2" w:space="0" w:color="auto"/>
              <w:left w:val="single" w:sz="2" w:space="0" w:color="auto"/>
              <w:bottom w:val="single" w:sz="2" w:space="0" w:color="auto"/>
              <w:right w:val="nil"/>
            </w:tcBorders>
          </w:tcPr>
          <w:p w14:paraId="4FF4B974" w14:textId="77777777" w:rsidR="00EC5413" w:rsidRDefault="00EC5413">
            <w:r>
              <w:lastRenderedPageBreak/>
              <w:t>Paso 3</w:t>
            </w:r>
          </w:p>
        </w:tc>
        <w:tc>
          <w:tcPr>
            <w:tcW w:w="3686" w:type="dxa"/>
            <w:tcBorders>
              <w:top w:val="single" w:sz="2" w:space="0" w:color="auto"/>
              <w:left w:val="nil"/>
              <w:bottom w:val="single" w:sz="2" w:space="0" w:color="auto"/>
              <w:right w:val="nil"/>
            </w:tcBorders>
          </w:tcPr>
          <w:p w14:paraId="4FF4B975" w14:textId="6B1A81CF" w:rsidR="00EC5413" w:rsidRDefault="00EE6F7E">
            <w:pPr>
              <w:jc w:val="center"/>
            </w:pPr>
            <w:r>
              <w:rPr>
                <w:lang w:eastAsia="es-ES"/>
              </w:rPr>
              <w:drawing>
                <wp:inline distT="0" distB="0" distL="0" distR="0" wp14:anchorId="4FF4BA27" wp14:editId="6CE011DF">
                  <wp:extent cx="1381125" cy="1133475"/>
                  <wp:effectExtent l="0" t="0" r="0" b="0"/>
                  <wp:docPr id="4"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l="-1605" t="-53618" r="-1172" b="-54057"/>
                          <a:stretch>
                            <a:fillRect/>
                          </a:stretch>
                        </pic:blipFill>
                        <pic:spPr bwMode="auto">
                          <a:xfrm>
                            <a:off x="0" y="0"/>
                            <a:ext cx="1381125" cy="1133475"/>
                          </a:xfrm>
                          <a:prstGeom prst="rect">
                            <a:avLst/>
                          </a:prstGeom>
                          <a:noFill/>
                          <a:ln>
                            <a:noFill/>
                          </a:ln>
                        </pic:spPr>
                      </pic:pic>
                    </a:graphicData>
                  </a:graphic>
                </wp:inline>
              </w:drawing>
            </w:r>
          </w:p>
        </w:tc>
        <w:tc>
          <w:tcPr>
            <w:tcW w:w="4381" w:type="dxa"/>
            <w:tcBorders>
              <w:top w:val="single" w:sz="2" w:space="0" w:color="auto"/>
              <w:left w:val="nil"/>
              <w:bottom w:val="single" w:sz="2" w:space="0" w:color="auto"/>
              <w:right w:val="single" w:sz="2" w:space="0" w:color="auto"/>
            </w:tcBorders>
          </w:tcPr>
          <w:p w14:paraId="4FF4B976" w14:textId="7D45BCC2" w:rsidR="00EC5413" w:rsidRDefault="00EC5413">
            <w:r>
              <w:t>Localice los dos sobres: los sobres están etiquetados como 1 y 2.</w:t>
            </w:r>
          </w:p>
          <w:p w14:paraId="4FF4B977" w14:textId="77777777" w:rsidR="00EC5413" w:rsidRDefault="00EC5413"/>
          <w:p w14:paraId="4FF4B978" w14:textId="68C814BA" w:rsidR="00EC5413" w:rsidRDefault="00EC5413">
            <w:r>
              <w:t xml:space="preserve">El sobre 1 contiene el “tampón de Vaxchora” y es de color negro y blanco. El sobre 2 contiene el “principio activo </w:t>
            </w:r>
            <w:r w:rsidR="007967C1">
              <w:t xml:space="preserve">de </w:t>
            </w:r>
            <w:r>
              <w:t>Vaxchora” y es de color azul y blanco.</w:t>
            </w:r>
          </w:p>
          <w:p w14:paraId="4FF4B979" w14:textId="77777777" w:rsidR="00EC5413" w:rsidRDefault="00EC5413"/>
          <w:p w14:paraId="4FF4B97A" w14:textId="77777777" w:rsidR="00EC5413" w:rsidRDefault="00EC5413">
            <w:r>
              <w:t>Si un sobre no está intacto, no utilice ninguno de los sobres y póngase en contacto con su médico, farmacéutico o enfermero para adquirir una dosis de sustitución. Si utiliza un sobre que no está intacto, se puede reducir la eficacia de la vacuna.</w:t>
            </w:r>
          </w:p>
        </w:tc>
      </w:tr>
      <w:tr w:rsidR="00EC5413" w14:paraId="4FF4B981" w14:textId="77777777">
        <w:trPr>
          <w:cantSplit/>
        </w:trPr>
        <w:tc>
          <w:tcPr>
            <w:tcW w:w="1242" w:type="dxa"/>
            <w:tcBorders>
              <w:top w:val="single" w:sz="2" w:space="0" w:color="auto"/>
              <w:left w:val="single" w:sz="2" w:space="0" w:color="auto"/>
              <w:bottom w:val="single" w:sz="2" w:space="0" w:color="auto"/>
              <w:right w:val="nil"/>
            </w:tcBorders>
          </w:tcPr>
          <w:p w14:paraId="4FF4B97C" w14:textId="77777777" w:rsidR="00EC5413" w:rsidRDefault="00EC5413">
            <w:r>
              <w:t>Paso 4</w:t>
            </w:r>
          </w:p>
        </w:tc>
        <w:tc>
          <w:tcPr>
            <w:tcW w:w="3686" w:type="dxa"/>
            <w:tcBorders>
              <w:top w:val="single" w:sz="2" w:space="0" w:color="auto"/>
              <w:left w:val="nil"/>
              <w:bottom w:val="single" w:sz="2" w:space="0" w:color="auto"/>
              <w:right w:val="nil"/>
            </w:tcBorders>
          </w:tcPr>
          <w:p w14:paraId="4FF4B97D" w14:textId="04CEDB8A" w:rsidR="00EC5413" w:rsidRDefault="00EE6F7E">
            <w:pPr>
              <w:jc w:val="center"/>
            </w:pPr>
            <w:r>
              <w:rPr>
                <w:lang w:eastAsia="es-ES"/>
              </w:rPr>
              <w:drawing>
                <wp:inline distT="0" distB="0" distL="0" distR="0" wp14:anchorId="4FF4BA28" wp14:editId="371D944B">
                  <wp:extent cx="1828800" cy="1447800"/>
                  <wp:effectExtent l="0" t="0" r="0" b="0"/>
                  <wp:docPr id="5" name="Imagen 12" descr="Screen Shot 2019-08-05 a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creen Shot 2019-08-05 at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0" cy="1447800"/>
                          </a:xfrm>
                          <a:prstGeom prst="rect">
                            <a:avLst/>
                          </a:prstGeom>
                          <a:noFill/>
                          <a:ln>
                            <a:noFill/>
                          </a:ln>
                        </pic:spPr>
                      </pic:pic>
                    </a:graphicData>
                  </a:graphic>
                </wp:inline>
              </w:drawing>
            </w:r>
          </w:p>
        </w:tc>
        <w:tc>
          <w:tcPr>
            <w:tcW w:w="4381" w:type="dxa"/>
            <w:tcBorders>
              <w:top w:val="single" w:sz="2" w:space="0" w:color="auto"/>
              <w:left w:val="nil"/>
              <w:bottom w:val="single" w:sz="2" w:space="0" w:color="auto"/>
              <w:right w:val="single" w:sz="2" w:space="0" w:color="auto"/>
            </w:tcBorders>
          </w:tcPr>
          <w:p w14:paraId="4FF4B97E" w14:textId="77777777" w:rsidR="00EC5413" w:rsidRDefault="00EC5413">
            <w:r>
              <w:t xml:space="preserve">Mida 100 ml de agua </w:t>
            </w:r>
            <w:r>
              <w:rPr>
                <w:rStyle w:val="Strong"/>
              </w:rPr>
              <w:t>embotellada</w:t>
            </w:r>
            <w:r>
              <w:t xml:space="preserve"> con o sin gas, fría o a temperatura ambiente, y viértala en un vaso limpio.</w:t>
            </w:r>
          </w:p>
          <w:p w14:paraId="4FF4B97F" w14:textId="77777777" w:rsidR="00EC5413" w:rsidRDefault="00EC5413"/>
          <w:p w14:paraId="4FF4B980" w14:textId="77777777" w:rsidR="00EC5413" w:rsidRDefault="00EC5413">
            <w:r>
              <w:t>El uso de agua embotellada es necesario para que la vacuna sea eficaz; si utiliza agua no embotellada (por ejemplo, agua del grifo), la vacuna puede resultar ineficaz.</w:t>
            </w:r>
          </w:p>
        </w:tc>
      </w:tr>
      <w:tr w:rsidR="00EC5413" w14:paraId="4FF4B987" w14:textId="77777777">
        <w:trPr>
          <w:cantSplit/>
        </w:trPr>
        <w:tc>
          <w:tcPr>
            <w:tcW w:w="1242" w:type="dxa"/>
            <w:tcBorders>
              <w:top w:val="single" w:sz="2" w:space="0" w:color="auto"/>
              <w:left w:val="single" w:sz="2" w:space="0" w:color="auto"/>
              <w:bottom w:val="single" w:sz="2" w:space="0" w:color="auto"/>
              <w:right w:val="nil"/>
            </w:tcBorders>
          </w:tcPr>
          <w:p w14:paraId="4FF4B982" w14:textId="77777777" w:rsidR="00EC5413" w:rsidRDefault="00EC5413">
            <w:r>
              <w:t>Paso 5</w:t>
            </w:r>
          </w:p>
        </w:tc>
        <w:tc>
          <w:tcPr>
            <w:tcW w:w="3686" w:type="dxa"/>
            <w:tcBorders>
              <w:top w:val="single" w:sz="2" w:space="0" w:color="auto"/>
              <w:left w:val="nil"/>
              <w:bottom w:val="single" w:sz="2" w:space="0" w:color="auto"/>
              <w:right w:val="nil"/>
            </w:tcBorders>
          </w:tcPr>
          <w:p w14:paraId="4FF4B983" w14:textId="683426E1" w:rsidR="00EC5413" w:rsidRDefault="00EE6F7E">
            <w:pPr>
              <w:jc w:val="center"/>
            </w:pPr>
            <w:r>
              <w:rPr>
                <w:lang w:eastAsia="es-ES"/>
              </w:rPr>
              <w:drawing>
                <wp:inline distT="0" distB="0" distL="0" distR="0" wp14:anchorId="4FF4BA29" wp14:editId="0646E10B">
                  <wp:extent cx="1257300" cy="1000125"/>
                  <wp:effectExtent l="0" t="0" r="0" b="0"/>
                  <wp:docPr id="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l="-2472" t="-59467" r="-1578" b="-41296"/>
                          <a:stretch>
                            <a:fillRect/>
                          </a:stretch>
                        </pic:blipFill>
                        <pic:spPr bwMode="auto">
                          <a:xfrm>
                            <a:off x="0" y="0"/>
                            <a:ext cx="1257300" cy="1000125"/>
                          </a:xfrm>
                          <a:prstGeom prst="rect">
                            <a:avLst/>
                          </a:prstGeom>
                          <a:noFill/>
                          <a:ln>
                            <a:noFill/>
                          </a:ln>
                        </pic:spPr>
                      </pic:pic>
                    </a:graphicData>
                  </a:graphic>
                </wp:inline>
              </w:drawing>
            </w:r>
          </w:p>
        </w:tc>
        <w:tc>
          <w:tcPr>
            <w:tcW w:w="4381" w:type="dxa"/>
            <w:tcBorders>
              <w:top w:val="single" w:sz="2" w:space="0" w:color="auto"/>
              <w:left w:val="nil"/>
              <w:bottom w:val="single" w:sz="2" w:space="0" w:color="auto"/>
              <w:right w:val="single" w:sz="2" w:space="0" w:color="auto"/>
            </w:tcBorders>
          </w:tcPr>
          <w:p w14:paraId="4FF4B984" w14:textId="041538C0" w:rsidR="00EC5413" w:rsidRDefault="00EC5413">
            <w:r>
              <w:t>Utilice las tijeras para cortar la parte superior del sobre 1.</w:t>
            </w:r>
          </w:p>
          <w:p w14:paraId="4FF4B985" w14:textId="77777777" w:rsidR="00EC5413" w:rsidRDefault="00EC5413"/>
          <w:p w14:paraId="4FF4B986" w14:textId="77777777" w:rsidR="00EC5413" w:rsidRDefault="00EC5413">
            <w:r>
              <w:t>No ponga los dedos en el interior del sobre. Lávese las manos si toca el contenido del sobre para reducir la posibilidad de contaminación.</w:t>
            </w:r>
          </w:p>
        </w:tc>
      </w:tr>
      <w:tr w:rsidR="00EC5413" w14:paraId="4FF4B98B" w14:textId="77777777">
        <w:trPr>
          <w:cantSplit/>
          <w:trHeight w:val="2237"/>
        </w:trPr>
        <w:tc>
          <w:tcPr>
            <w:tcW w:w="1242" w:type="dxa"/>
            <w:tcBorders>
              <w:top w:val="single" w:sz="2" w:space="0" w:color="auto"/>
              <w:left w:val="single" w:sz="2" w:space="0" w:color="auto"/>
              <w:bottom w:val="single" w:sz="2" w:space="0" w:color="auto"/>
              <w:right w:val="nil"/>
            </w:tcBorders>
          </w:tcPr>
          <w:p w14:paraId="4FF4B988" w14:textId="77777777" w:rsidR="00EC5413" w:rsidRDefault="00EC5413">
            <w:r>
              <w:t>Paso 6</w:t>
            </w:r>
          </w:p>
        </w:tc>
        <w:tc>
          <w:tcPr>
            <w:tcW w:w="3686" w:type="dxa"/>
            <w:tcBorders>
              <w:top w:val="single" w:sz="2" w:space="0" w:color="auto"/>
              <w:left w:val="nil"/>
              <w:bottom w:val="single" w:sz="2" w:space="0" w:color="auto"/>
              <w:right w:val="nil"/>
            </w:tcBorders>
          </w:tcPr>
          <w:p w14:paraId="4FF4B989" w14:textId="0E9F06D6" w:rsidR="00EC5413" w:rsidRDefault="00EE6F7E">
            <w:pPr>
              <w:jc w:val="center"/>
            </w:pPr>
            <w:r>
              <w:rPr>
                <w:lang w:eastAsia="es-ES"/>
              </w:rPr>
              <w:drawing>
                <wp:inline distT="0" distB="0" distL="0" distR="0" wp14:anchorId="4FF4BA2A" wp14:editId="38076449">
                  <wp:extent cx="990600" cy="1200150"/>
                  <wp:effectExtent l="0" t="0" r="0" b="0"/>
                  <wp:docPr id="7"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4">
                            <a:extLst>
                              <a:ext uri="{28A0092B-C50C-407E-A947-70E740481C1C}">
                                <a14:useLocalDpi xmlns:a14="http://schemas.microsoft.com/office/drawing/2010/main" val="0"/>
                              </a:ext>
                            </a:extLst>
                          </a:blip>
                          <a:srcRect l="-29753" r="-35875" b="-520"/>
                          <a:stretch>
                            <a:fillRect/>
                          </a:stretch>
                        </pic:blipFill>
                        <pic:spPr bwMode="auto">
                          <a:xfrm>
                            <a:off x="0" y="0"/>
                            <a:ext cx="990600" cy="1200150"/>
                          </a:xfrm>
                          <a:prstGeom prst="rect">
                            <a:avLst/>
                          </a:prstGeom>
                          <a:noFill/>
                          <a:ln>
                            <a:noFill/>
                          </a:ln>
                        </pic:spPr>
                      </pic:pic>
                    </a:graphicData>
                  </a:graphic>
                </wp:inline>
              </w:drawing>
            </w:r>
          </w:p>
        </w:tc>
        <w:tc>
          <w:tcPr>
            <w:tcW w:w="4381" w:type="dxa"/>
            <w:tcBorders>
              <w:top w:val="single" w:sz="2" w:space="0" w:color="auto"/>
              <w:left w:val="nil"/>
              <w:bottom w:val="single" w:sz="2" w:space="0" w:color="auto"/>
              <w:right w:val="single" w:sz="2" w:space="0" w:color="auto"/>
            </w:tcBorders>
          </w:tcPr>
          <w:p w14:paraId="4FF4B98A" w14:textId="1048FAEA" w:rsidR="00EC5413" w:rsidRDefault="00EC5413">
            <w:r>
              <w:t>Vacíe el contenido del sobre 1 en el agua del vaso. Es efervescente.</w:t>
            </w:r>
          </w:p>
        </w:tc>
      </w:tr>
      <w:tr w:rsidR="00EC5413" w14:paraId="4FF4B98F" w14:textId="77777777">
        <w:trPr>
          <w:cantSplit/>
        </w:trPr>
        <w:tc>
          <w:tcPr>
            <w:tcW w:w="1242" w:type="dxa"/>
            <w:tcBorders>
              <w:top w:val="single" w:sz="2" w:space="0" w:color="auto"/>
              <w:left w:val="single" w:sz="2" w:space="0" w:color="auto"/>
              <w:bottom w:val="single" w:sz="2" w:space="0" w:color="auto"/>
              <w:right w:val="nil"/>
            </w:tcBorders>
          </w:tcPr>
          <w:p w14:paraId="4FF4B98C" w14:textId="77777777" w:rsidR="00EC5413" w:rsidRDefault="00EC5413">
            <w:r>
              <w:t>Paso 7</w:t>
            </w:r>
          </w:p>
        </w:tc>
        <w:tc>
          <w:tcPr>
            <w:tcW w:w="3686" w:type="dxa"/>
            <w:tcBorders>
              <w:top w:val="single" w:sz="2" w:space="0" w:color="auto"/>
              <w:left w:val="nil"/>
              <w:bottom w:val="single" w:sz="2" w:space="0" w:color="auto"/>
              <w:right w:val="nil"/>
            </w:tcBorders>
            <w:tcMar>
              <w:top w:w="28" w:type="dxa"/>
            </w:tcMar>
          </w:tcPr>
          <w:p w14:paraId="4FF4B98D" w14:textId="40A7B577" w:rsidR="00EC5413" w:rsidRDefault="00EE6F7E">
            <w:pPr>
              <w:jc w:val="center"/>
            </w:pPr>
            <w:r>
              <w:rPr>
                <w:lang w:eastAsia="es-ES"/>
              </w:rPr>
              <w:drawing>
                <wp:inline distT="0" distB="0" distL="0" distR="0" wp14:anchorId="4FF4BA2B" wp14:editId="00A12226">
                  <wp:extent cx="990600" cy="1333500"/>
                  <wp:effectExtent l="0" t="0" r="0" b="0"/>
                  <wp:docPr id="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1333500"/>
                          </a:xfrm>
                          <a:prstGeom prst="rect">
                            <a:avLst/>
                          </a:prstGeom>
                          <a:noFill/>
                          <a:ln>
                            <a:noFill/>
                          </a:ln>
                        </pic:spPr>
                      </pic:pic>
                    </a:graphicData>
                  </a:graphic>
                </wp:inline>
              </w:drawing>
            </w:r>
          </w:p>
        </w:tc>
        <w:tc>
          <w:tcPr>
            <w:tcW w:w="4381" w:type="dxa"/>
            <w:tcBorders>
              <w:top w:val="single" w:sz="2" w:space="0" w:color="auto"/>
              <w:left w:val="nil"/>
              <w:bottom w:val="single" w:sz="2" w:space="0" w:color="auto"/>
              <w:right w:val="single" w:sz="2" w:space="0" w:color="auto"/>
            </w:tcBorders>
          </w:tcPr>
          <w:p w14:paraId="4FF4B98E" w14:textId="77777777" w:rsidR="00EC5413" w:rsidRDefault="00EC5413">
            <w:r>
              <w:t>Mézclelo hasta que el polvo se haya disuelto por completo.</w:t>
            </w:r>
          </w:p>
        </w:tc>
      </w:tr>
      <w:tr w:rsidR="00EC5413" w14:paraId="4FF4B995" w14:textId="77777777">
        <w:trPr>
          <w:cantSplit/>
        </w:trPr>
        <w:tc>
          <w:tcPr>
            <w:tcW w:w="1242" w:type="dxa"/>
            <w:tcBorders>
              <w:top w:val="single" w:sz="2" w:space="0" w:color="auto"/>
              <w:left w:val="single" w:sz="2" w:space="0" w:color="auto"/>
              <w:bottom w:val="single" w:sz="2" w:space="0" w:color="auto"/>
              <w:right w:val="nil"/>
            </w:tcBorders>
          </w:tcPr>
          <w:p w14:paraId="4FF4B990" w14:textId="77777777" w:rsidR="00EC5413" w:rsidRDefault="00EC5413" w:rsidP="00562A5D">
            <w:r>
              <w:t>Paso 8</w:t>
            </w:r>
          </w:p>
        </w:tc>
        <w:tc>
          <w:tcPr>
            <w:tcW w:w="3686" w:type="dxa"/>
            <w:tcBorders>
              <w:top w:val="single" w:sz="2" w:space="0" w:color="auto"/>
              <w:left w:val="nil"/>
              <w:bottom w:val="single" w:sz="2" w:space="0" w:color="auto"/>
              <w:right w:val="nil"/>
            </w:tcBorders>
          </w:tcPr>
          <w:p w14:paraId="4FF4B991" w14:textId="087B74E2" w:rsidR="00EC5413" w:rsidRDefault="00EE6F7E" w:rsidP="00562A5D">
            <w:pPr>
              <w:jc w:val="center"/>
            </w:pPr>
            <w:r>
              <w:rPr>
                <w:lang w:eastAsia="es-ES"/>
              </w:rPr>
              <w:drawing>
                <wp:inline distT="0" distB="0" distL="0" distR="0" wp14:anchorId="4FF4BA2C" wp14:editId="2A4A8921">
                  <wp:extent cx="1419225" cy="1362075"/>
                  <wp:effectExtent l="0" t="0" r="0" b="0"/>
                  <wp:docPr id="9" name="Imagen 9" descr="Step 8 crop 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Step 8 crop tif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19225" cy="1362075"/>
                          </a:xfrm>
                          <a:prstGeom prst="rect">
                            <a:avLst/>
                          </a:prstGeom>
                          <a:noFill/>
                          <a:ln>
                            <a:noFill/>
                          </a:ln>
                        </pic:spPr>
                      </pic:pic>
                    </a:graphicData>
                  </a:graphic>
                </wp:inline>
              </w:drawing>
            </w:r>
          </w:p>
        </w:tc>
        <w:tc>
          <w:tcPr>
            <w:tcW w:w="4381" w:type="dxa"/>
            <w:tcBorders>
              <w:top w:val="single" w:sz="2" w:space="0" w:color="auto"/>
              <w:left w:val="nil"/>
              <w:bottom w:val="single" w:sz="2" w:space="0" w:color="auto"/>
              <w:right w:val="single" w:sz="2" w:space="0" w:color="auto"/>
            </w:tcBorders>
          </w:tcPr>
          <w:p w14:paraId="4FF4B992" w14:textId="77777777" w:rsidR="00EC5413" w:rsidRDefault="00EC5413" w:rsidP="00562A5D">
            <w:pPr>
              <w:rPr>
                <w:b/>
                <w:bCs/>
              </w:rPr>
            </w:pPr>
            <w:r w:rsidRPr="00A70771">
              <w:rPr>
                <w:b/>
                <w:bCs/>
              </w:rPr>
              <w:t xml:space="preserve">Solo para </w:t>
            </w:r>
            <w:r w:rsidRPr="00794102">
              <w:rPr>
                <w:b/>
                <w:bCs/>
              </w:rPr>
              <w:t>niños</w:t>
            </w:r>
            <w:r w:rsidRPr="00A70771">
              <w:rPr>
                <w:b/>
                <w:bCs/>
              </w:rPr>
              <w:t xml:space="preserve"> de entre 2 y menos de 6 años</w:t>
            </w:r>
            <w:r w:rsidRPr="009A4FD9">
              <w:rPr>
                <w:b/>
                <w:bCs/>
              </w:rPr>
              <w:t xml:space="preserve"> de edad</w:t>
            </w:r>
            <w:r w:rsidRPr="00A70771">
              <w:rPr>
                <w:b/>
                <w:bCs/>
              </w:rPr>
              <w:t>:</w:t>
            </w:r>
          </w:p>
          <w:p w14:paraId="4FF4B993" w14:textId="77777777" w:rsidR="00EC5413" w:rsidRDefault="00EC5413" w:rsidP="00562A5D">
            <w:r>
              <w:t>Agite y deseche la mitad de la solución tampón.</w:t>
            </w:r>
          </w:p>
          <w:p w14:paraId="4FF4B994" w14:textId="77777777" w:rsidR="00EC5413" w:rsidRDefault="00EC5413" w:rsidP="00562A5D">
            <w:r>
              <w:t xml:space="preserve">(Nota: Para </w:t>
            </w:r>
            <w:r w:rsidRPr="00794102">
              <w:t>niños</w:t>
            </w:r>
            <w:r>
              <w:t xml:space="preserve"> mayores de 6 años y adultos, NO se requiere este paso).</w:t>
            </w:r>
          </w:p>
        </w:tc>
      </w:tr>
      <w:tr w:rsidR="00EC5413" w14:paraId="4FF4B99B" w14:textId="77777777">
        <w:trPr>
          <w:cantSplit/>
          <w:trHeight w:val="2463"/>
        </w:trPr>
        <w:tc>
          <w:tcPr>
            <w:tcW w:w="1242" w:type="dxa"/>
            <w:tcBorders>
              <w:top w:val="single" w:sz="2" w:space="0" w:color="auto"/>
              <w:left w:val="single" w:sz="2" w:space="0" w:color="auto"/>
              <w:bottom w:val="single" w:sz="2" w:space="0" w:color="auto"/>
              <w:right w:val="nil"/>
            </w:tcBorders>
          </w:tcPr>
          <w:p w14:paraId="4FF4B996" w14:textId="77777777" w:rsidR="00EC5413" w:rsidRDefault="00EC5413" w:rsidP="002B4720">
            <w:r>
              <w:lastRenderedPageBreak/>
              <w:t>Paso 9</w:t>
            </w:r>
          </w:p>
        </w:tc>
        <w:tc>
          <w:tcPr>
            <w:tcW w:w="3686" w:type="dxa"/>
            <w:tcBorders>
              <w:top w:val="single" w:sz="2" w:space="0" w:color="auto"/>
              <w:left w:val="nil"/>
              <w:bottom w:val="single" w:sz="2" w:space="0" w:color="auto"/>
              <w:right w:val="nil"/>
            </w:tcBorders>
          </w:tcPr>
          <w:p w14:paraId="4FF4B997" w14:textId="419AA45B" w:rsidR="00EC5413" w:rsidRDefault="00EE6F7E" w:rsidP="002B4720">
            <w:pPr>
              <w:jc w:val="center"/>
            </w:pPr>
            <w:r>
              <w:rPr>
                <w:lang w:eastAsia="es-ES"/>
              </w:rPr>
              <w:drawing>
                <wp:inline distT="0" distB="0" distL="0" distR="0" wp14:anchorId="4FF4BA2D" wp14:editId="4F7E76A6">
                  <wp:extent cx="1209675" cy="962025"/>
                  <wp:effectExtent l="0" t="0" r="0" b="0"/>
                  <wp:docPr id="10"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7">
                            <a:extLst>
                              <a:ext uri="{28A0092B-C50C-407E-A947-70E740481C1C}">
                                <a14:useLocalDpi xmlns:a14="http://schemas.microsoft.com/office/drawing/2010/main" val="0"/>
                              </a:ext>
                            </a:extLst>
                          </a:blip>
                          <a:srcRect l="-2039" t="-57544" r="-1984" b="-44058"/>
                          <a:stretch>
                            <a:fillRect/>
                          </a:stretch>
                        </pic:blipFill>
                        <pic:spPr bwMode="auto">
                          <a:xfrm>
                            <a:off x="0" y="0"/>
                            <a:ext cx="1209675" cy="962025"/>
                          </a:xfrm>
                          <a:prstGeom prst="rect">
                            <a:avLst/>
                          </a:prstGeom>
                          <a:noFill/>
                          <a:ln>
                            <a:noFill/>
                          </a:ln>
                        </pic:spPr>
                      </pic:pic>
                    </a:graphicData>
                  </a:graphic>
                </wp:inline>
              </w:drawing>
            </w:r>
          </w:p>
        </w:tc>
        <w:tc>
          <w:tcPr>
            <w:tcW w:w="4381" w:type="dxa"/>
            <w:tcBorders>
              <w:top w:val="single" w:sz="2" w:space="0" w:color="auto"/>
              <w:left w:val="nil"/>
              <w:bottom w:val="single" w:sz="2" w:space="0" w:color="auto"/>
              <w:right w:val="single" w:sz="2" w:space="0" w:color="auto"/>
            </w:tcBorders>
          </w:tcPr>
          <w:p w14:paraId="4FF4B998" w14:textId="651CB2C2" w:rsidR="00EC5413" w:rsidRDefault="00EC5413" w:rsidP="002B4720">
            <w:r>
              <w:t>Utilice las tijeras para cortar la parte superior del sobre 2.</w:t>
            </w:r>
          </w:p>
          <w:p w14:paraId="4FF4B999" w14:textId="77777777" w:rsidR="00EC5413" w:rsidRDefault="00EC5413" w:rsidP="002B4720"/>
          <w:p w14:paraId="4FF4B99A" w14:textId="77777777" w:rsidR="00EC5413" w:rsidRDefault="00EC5413" w:rsidP="002B4720">
            <w:r>
              <w:t>No ponga los dedos en el interior del sobre. Lávese las manos si toca el contenido del sobre para reducir la posibilidad de contaminación.</w:t>
            </w:r>
          </w:p>
        </w:tc>
      </w:tr>
      <w:tr w:rsidR="00EC5413" w14:paraId="4FF4B99F" w14:textId="77777777">
        <w:trPr>
          <w:cantSplit/>
        </w:trPr>
        <w:tc>
          <w:tcPr>
            <w:tcW w:w="1242" w:type="dxa"/>
            <w:tcBorders>
              <w:top w:val="single" w:sz="2" w:space="0" w:color="auto"/>
              <w:left w:val="single" w:sz="2" w:space="0" w:color="auto"/>
              <w:bottom w:val="single" w:sz="2" w:space="0" w:color="auto"/>
              <w:right w:val="nil"/>
            </w:tcBorders>
          </w:tcPr>
          <w:p w14:paraId="4FF4B99C" w14:textId="77777777" w:rsidR="00EC5413" w:rsidRDefault="00EC5413" w:rsidP="002B4720">
            <w:r>
              <w:t>Paso 10</w:t>
            </w:r>
          </w:p>
        </w:tc>
        <w:tc>
          <w:tcPr>
            <w:tcW w:w="3686" w:type="dxa"/>
            <w:tcBorders>
              <w:top w:val="single" w:sz="2" w:space="0" w:color="auto"/>
              <w:left w:val="nil"/>
              <w:bottom w:val="single" w:sz="2" w:space="0" w:color="auto"/>
              <w:right w:val="nil"/>
            </w:tcBorders>
          </w:tcPr>
          <w:p w14:paraId="4FF4B99D" w14:textId="4950A8D0" w:rsidR="00EC5413" w:rsidRDefault="00EE6F7E" w:rsidP="002B4720">
            <w:pPr>
              <w:jc w:val="center"/>
            </w:pPr>
            <w:r>
              <w:rPr>
                <w:lang w:eastAsia="es-ES"/>
              </w:rPr>
              <w:drawing>
                <wp:inline distT="0" distB="0" distL="0" distR="0" wp14:anchorId="4FF4BA2E" wp14:editId="3963EB8F">
                  <wp:extent cx="1104900" cy="1371600"/>
                  <wp:effectExtent l="0" t="0" r="0" b="0"/>
                  <wp:docPr id="1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8">
                            <a:extLst>
                              <a:ext uri="{28A0092B-C50C-407E-A947-70E740481C1C}">
                                <a14:useLocalDpi xmlns:a14="http://schemas.microsoft.com/office/drawing/2010/main" val="0"/>
                              </a:ext>
                            </a:extLst>
                          </a:blip>
                          <a:srcRect l="-32027" r="-32697" b="-232"/>
                          <a:stretch>
                            <a:fillRect/>
                          </a:stretch>
                        </pic:blipFill>
                        <pic:spPr bwMode="auto">
                          <a:xfrm>
                            <a:off x="0" y="0"/>
                            <a:ext cx="1104900" cy="1371600"/>
                          </a:xfrm>
                          <a:prstGeom prst="rect">
                            <a:avLst/>
                          </a:prstGeom>
                          <a:noFill/>
                          <a:ln>
                            <a:noFill/>
                          </a:ln>
                        </pic:spPr>
                      </pic:pic>
                    </a:graphicData>
                  </a:graphic>
                </wp:inline>
              </w:drawing>
            </w:r>
          </w:p>
        </w:tc>
        <w:tc>
          <w:tcPr>
            <w:tcW w:w="4381" w:type="dxa"/>
            <w:tcBorders>
              <w:top w:val="single" w:sz="2" w:space="0" w:color="auto"/>
              <w:left w:val="nil"/>
              <w:bottom w:val="single" w:sz="2" w:space="0" w:color="auto"/>
              <w:right w:val="single" w:sz="2" w:space="0" w:color="auto"/>
            </w:tcBorders>
          </w:tcPr>
          <w:p w14:paraId="4FF4B99E" w14:textId="5F48BFF5" w:rsidR="00EC5413" w:rsidRDefault="00EC5413" w:rsidP="002B4720">
            <w:r>
              <w:t>Vacíe el contenido del sobre 2 en el vaso.</w:t>
            </w:r>
          </w:p>
        </w:tc>
      </w:tr>
      <w:tr w:rsidR="00EC5413" w14:paraId="4FF4B9A5" w14:textId="77777777">
        <w:trPr>
          <w:cantSplit/>
        </w:trPr>
        <w:tc>
          <w:tcPr>
            <w:tcW w:w="1242" w:type="dxa"/>
            <w:tcBorders>
              <w:top w:val="single" w:sz="2" w:space="0" w:color="auto"/>
              <w:left w:val="single" w:sz="2" w:space="0" w:color="auto"/>
              <w:bottom w:val="single" w:sz="2" w:space="0" w:color="auto"/>
              <w:right w:val="nil"/>
            </w:tcBorders>
          </w:tcPr>
          <w:p w14:paraId="4FF4B9A0" w14:textId="77777777" w:rsidR="00EC5413" w:rsidRDefault="00EC5413" w:rsidP="002B4720">
            <w:r>
              <w:t>Paso 11</w:t>
            </w:r>
          </w:p>
        </w:tc>
        <w:tc>
          <w:tcPr>
            <w:tcW w:w="3686" w:type="dxa"/>
            <w:tcBorders>
              <w:top w:val="single" w:sz="2" w:space="0" w:color="auto"/>
              <w:left w:val="nil"/>
              <w:bottom w:val="single" w:sz="2" w:space="0" w:color="auto"/>
              <w:right w:val="nil"/>
            </w:tcBorders>
          </w:tcPr>
          <w:p w14:paraId="4FF4B9A1" w14:textId="499E01BA" w:rsidR="00EC5413" w:rsidRDefault="00EE6F7E" w:rsidP="002B4720">
            <w:pPr>
              <w:jc w:val="center"/>
            </w:pPr>
            <w:r>
              <w:rPr>
                <w:lang w:eastAsia="es-ES"/>
              </w:rPr>
              <w:drawing>
                <wp:inline distT="0" distB="0" distL="0" distR="0" wp14:anchorId="4FF4BA2F" wp14:editId="5C1C6D67">
                  <wp:extent cx="981075" cy="1419225"/>
                  <wp:effectExtent l="0" t="0" r="0" b="0"/>
                  <wp:docPr id="1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81075" cy="1419225"/>
                          </a:xfrm>
                          <a:prstGeom prst="rect">
                            <a:avLst/>
                          </a:prstGeom>
                          <a:noFill/>
                          <a:ln>
                            <a:noFill/>
                          </a:ln>
                        </pic:spPr>
                      </pic:pic>
                    </a:graphicData>
                  </a:graphic>
                </wp:inline>
              </w:drawing>
            </w:r>
          </w:p>
        </w:tc>
        <w:tc>
          <w:tcPr>
            <w:tcW w:w="4381" w:type="dxa"/>
            <w:tcBorders>
              <w:top w:val="single" w:sz="2" w:space="0" w:color="auto"/>
              <w:left w:val="nil"/>
              <w:bottom w:val="single" w:sz="2" w:space="0" w:color="auto"/>
              <w:right w:val="single" w:sz="2" w:space="0" w:color="auto"/>
            </w:tcBorders>
          </w:tcPr>
          <w:p w14:paraId="4FF4B9A2" w14:textId="4A2D4B86" w:rsidR="00EC5413" w:rsidRDefault="00EC5413" w:rsidP="002B4720">
            <w:r>
              <w:t>Mézclelo como mínimo 30 segundos. Es posible que el polvo del sobre 2 no se disuelva por completo. Formará una mezcla ligeramente turbia con algunas partículas blancas.</w:t>
            </w:r>
          </w:p>
          <w:p w14:paraId="4FF4B9A3" w14:textId="77777777" w:rsidR="00EC5413" w:rsidRDefault="00EC5413" w:rsidP="002B4720"/>
          <w:p w14:paraId="4FF4B9A4" w14:textId="24D67668" w:rsidR="00EC5413" w:rsidRDefault="00EC5413" w:rsidP="002B4720">
            <w:r>
              <w:t xml:space="preserve">Si se desea, después de agitar el </w:t>
            </w:r>
            <w:r w:rsidRPr="00794102">
              <w:t>sobre</w:t>
            </w:r>
            <w:r>
              <w:t xml:space="preserve"> 2 por al menos 30 segundos, puede agregarse endulzante con stevia (no más de 1 gramo o </w:t>
            </w:r>
            <w:r w:rsidRPr="00160824">
              <w:t>¼</w:t>
            </w:r>
            <w:r>
              <w:t xml:space="preserve"> cucharadita de té) o azúcar (sacarosa, no más de 4 gramos o 1 cucharadita de té) y luego agitarse en la suspensión. NO </w:t>
            </w:r>
            <w:r w:rsidRPr="00794102">
              <w:t>agregue</w:t>
            </w:r>
            <w:r>
              <w:t xml:space="preserve"> otros endulzantes, ya que esto puede reducir la efectividad de la vacuna.</w:t>
            </w:r>
          </w:p>
        </w:tc>
      </w:tr>
      <w:tr w:rsidR="00EC5413" w14:paraId="4FF4B9A9" w14:textId="77777777">
        <w:trPr>
          <w:cantSplit/>
          <w:trHeight w:val="20"/>
        </w:trPr>
        <w:tc>
          <w:tcPr>
            <w:tcW w:w="1242" w:type="dxa"/>
            <w:tcBorders>
              <w:top w:val="single" w:sz="2" w:space="0" w:color="auto"/>
              <w:left w:val="single" w:sz="2" w:space="0" w:color="auto"/>
              <w:bottom w:val="single" w:sz="2" w:space="0" w:color="auto"/>
              <w:right w:val="nil"/>
            </w:tcBorders>
          </w:tcPr>
          <w:p w14:paraId="4FF4B9A6" w14:textId="77777777" w:rsidR="00EC5413" w:rsidRDefault="00EC5413" w:rsidP="002B4720">
            <w:r>
              <w:t>Paso 12</w:t>
            </w:r>
          </w:p>
        </w:tc>
        <w:tc>
          <w:tcPr>
            <w:tcW w:w="3686" w:type="dxa"/>
            <w:tcBorders>
              <w:top w:val="single" w:sz="2" w:space="0" w:color="auto"/>
              <w:left w:val="nil"/>
              <w:bottom w:val="single" w:sz="2" w:space="0" w:color="auto"/>
              <w:right w:val="nil"/>
            </w:tcBorders>
            <w:tcMar>
              <w:top w:w="28" w:type="dxa"/>
            </w:tcMar>
          </w:tcPr>
          <w:p w14:paraId="4FF4B9A7" w14:textId="3ED33FE4" w:rsidR="00EC5413" w:rsidRDefault="00EE6F7E" w:rsidP="002B4720">
            <w:pPr>
              <w:jc w:val="center"/>
            </w:pPr>
            <w:r>
              <w:rPr>
                <w:lang w:eastAsia="es-ES"/>
              </w:rPr>
              <w:drawing>
                <wp:inline distT="0" distB="0" distL="0" distR="0" wp14:anchorId="4FF4BA30" wp14:editId="70D1E1E0">
                  <wp:extent cx="1600200" cy="1257300"/>
                  <wp:effectExtent l="0" t="0" r="0" b="0"/>
                  <wp:docPr id="1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00200" cy="1257300"/>
                          </a:xfrm>
                          <a:prstGeom prst="rect">
                            <a:avLst/>
                          </a:prstGeom>
                          <a:noFill/>
                          <a:ln>
                            <a:noFill/>
                          </a:ln>
                        </pic:spPr>
                      </pic:pic>
                    </a:graphicData>
                  </a:graphic>
                </wp:inline>
              </w:drawing>
            </w:r>
          </w:p>
        </w:tc>
        <w:tc>
          <w:tcPr>
            <w:tcW w:w="4381" w:type="dxa"/>
            <w:tcBorders>
              <w:top w:val="single" w:sz="2" w:space="0" w:color="auto"/>
              <w:left w:val="nil"/>
              <w:bottom w:val="single" w:sz="2" w:space="0" w:color="auto"/>
              <w:right w:val="single" w:sz="2" w:space="0" w:color="auto"/>
            </w:tcBorders>
          </w:tcPr>
          <w:p w14:paraId="4FF4B9A8" w14:textId="55223011" w:rsidR="00EC5413" w:rsidRDefault="00EC5413" w:rsidP="00D07BFA">
            <w:r>
              <w:t>Bébase todo el contenido del vaso en un plazo de 15 minutos desde la preparación. Puede quedar algún residuo en el vaso que debe desechar. Si usted o su hijo toman menos de la mitad de la dosis, comuníquese de inmediato con su médico, farmacéutico o enfermero si necesita repetir una dosis.</w:t>
            </w:r>
          </w:p>
        </w:tc>
      </w:tr>
      <w:tr w:rsidR="00EC5413" w14:paraId="4FF4B9AF" w14:textId="77777777">
        <w:trPr>
          <w:cantSplit/>
        </w:trPr>
        <w:tc>
          <w:tcPr>
            <w:tcW w:w="1242" w:type="dxa"/>
            <w:tcBorders>
              <w:top w:val="single" w:sz="2" w:space="0" w:color="auto"/>
              <w:left w:val="single" w:sz="2" w:space="0" w:color="auto"/>
              <w:bottom w:val="single" w:sz="2" w:space="0" w:color="auto"/>
              <w:right w:val="nil"/>
            </w:tcBorders>
          </w:tcPr>
          <w:p w14:paraId="4FF4B9AA" w14:textId="77777777" w:rsidR="00EC5413" w:rsidRDefault="00EC5413" w:rsidP="002B4720">
            <w:r>
              <w:t>Paso 13</w:t>
            </w:r>
          </w:p>
        </w:tc>
        <w:tc>
          <w:tcPr>
            <w:tcW w:w="3686" w:type="dxa"/>
            <w:tcBorders>
              <w:top w:val="single" w:sz="2" w:space="0" w:color="auto"/>
              <w:left w:val="nil"/>
              <w:bottom w:val="single" w:sz="2" w:space="0" w:color="auto"/>
              <w:right w:val="nil"/>
            </w:tcBorders>
            <w:tcMar>
              <w:top w:w="28" w:type="dxa"/>
            </w:tcMar>
          </w:tcPr>
          <w:p w14:paraId="4FF4B9AB" w14:textId="365338F9" w:rsidR="00EC5413" w:rsidRDefault="00EE6F7E" w:rsidP="002B4720">
            <w:pPr>
              <w:jc w:val="center"/>
            </w:pPr>
            <w:r>
              <w:rPr>
                <w:lang w:eastAsia="es-ES"/>
              </w:rPr>
              <w:drawing>
                <wp:inline distT="0" distB="0" distL="0" distR="0" wp14:anchorId="4FF4BA31" wp14:editId="02F61A15">
                  <wp:extent cx="1066800" cy="2019300"/>
                  <wp:effectExtent l="0" t="0" r="0" b="0"/>
                  <wp:docPr id="1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6800" cy="2019300"/>
                          </a:xfrm>
                          <a:prstGeom prst="rect">
                            <a:avLst/>
                          </a:prstGeom>
                          <a:noFill/>
                          <a:ln>
                            <a:noFill/>
                          </a:ln>
                        </pic:spPr>
                      </pic:pic>
                    </a:graphicData>
                  </a:graphic>
                </wp:inline>
              </w:drawing>
            </w:r>
          </w:p>
        </w:tc>
        <w:tc>
          <w:tcPr>
            <w:tcW w:w="4381" w:type="dxa"/>
            <w:tcBorders>
              <w:top w:val="single" w:sz="2" w:space="0" w:color="auto"/>
              <w:left w:val="nil"/>
              <w:bottom w:val="single" w:sz="2" w:space="0" w:color="auto"/>
              <w:right w:val="single" w:sz="2" w:space="0" w:color="auto"/>
            </w:tcBorders>
          </w:tcPr>
          <w:p w14:paraId="4FF4B9AC" w14:textId="77777777" w:rsidR="00EC5413" w:rsidRDefault="00EC5413" w:rsidP="002B4720">
            <w:r>
              <w:t>Deseche los sobres vacíos de acuerdo con las directrices locales en materia de bioseguridad.</w:t>
            </w:r>
          </w:p>
          <w:p w14:paraId="4FF4B9AD" w14:textId="68ADB47D" w:rsidR="00EC5413" w:rsidRDefault="00EC5413" w:rsidP="002B4720">
            <w:r>
              <w:t>Pregunte a su médico, farmacéutico o enfermero cómo desechar los materiales</w:t>
            </w:r>
            <w:r w:rsidRPr="00EE3920">
              <w:t xml:space="preserve"> que hayan estado en contacto con</w:t>
            </w:r>
            <w:r w:rsidDel="00DF6B4D">
              <w:t xml:space="preserve"> </w:t>
            </w:r>
            <w:r>
              <w:t>el medicamento.</w:t>
            </w:r>
          </w:p>
          <w:p w14:paraId="4FF4B9AE" w14:textId="77777777" w:rsidR="00EC5413" w:rsidRDefault="00EC5413" w:rsidP="002B4720"/>
        </w:tc>
      </w:tr>
      <w:tr w:rsidR="00EC5413" w14:paraId="4FF4B9B5" w14:textId="77777777">
        <w:trPr>
          <w:cantSplit/>
        </w:trPr>
        <w:tc>
          <w:tcPr>
            <w:tcW w:w="1242" w:type="dxa"/>
            <w:tcBorders>
              <w:top w:val="single" w:sz="2" w:space="0" w:color="auto"/>
              <w:left w:val="single" w:sz="2" w:space="0" w:color="auto"/>
              <w:bottom w:val="single" w:sz="2" w:space="0" w:color="auto"/>
              <w:right w:val="nil"/>
            </w:tcBorders>
          </w:tcPr>
          <w:p w14:paraId="4FF4B9B0" w14:textId="77777777" w:rsidR="00EC5413" w:rsidRDefault="00EC5413" w:rsidP="002B4720">
            <w:r>
              <w:lastRenderedPageBreak/>
              <w:t>Paso 14</w:t>
            </w:r>
          </w:p>
        </w:tc>
        <w:tc>
          <w:tcPr>
            <w:tcW w:w="3686" w:type="dxa"/>
            <w:tcBorders>
              <w:top w:val="single" w:sz="2" w:space="0" w:color="auto"/>
              <w:left w:val="nil"/>
              <w:bottom w:val="single" w:sz="2" w:space="0" w:color="auto"/>
              <w:right w:val="nil"/>
            </w:tcBorders>
            <w:tcMar>
              <w:top w:w="28" w:type="dxa"/>
            </w:tcMar>
          </w:tcPr>
          <w:p w14:paraId="4FF4B9B1" w14:textId="2CD7C007" w:rsidR="00EC5413" w:rsidRDefault="00EE6F7E" w:rsidP="002B4720">
            <w:pPr>
              <w:jc w:val="center"/>
            </w:pPr>
            <w:r>
              <w:rPr>
                <w:lang w:eastAsia="es-ES"/>
              </w:rPr>
              <w:drawing>
                <wp:inline distT="0" distB="0" distL="0" distR="0" wp14:anchorId="4FF4BA32" wp14:editId="38DA6169">
                  <wp:extent cx="1676400" cy="809625"/>
                  <wp:effectExtent l="0" t="0" r="0" b="0"/>
                  <wp:docPr id="1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76400" cy="809625"/>
                          </a:xfrm>
                          <a:prstGeom prst="rect">
                            <a:avLst/>
                          </a:prstGeom>
                          <a:noFill/>
                          <a:ln>
                            <a:noFill/>
                          </a:ln>
                        </pic:spPr>
                      </pic:pic>
                    </a:graphicData>
                  </a:graphic>
                </wp:inline>
              </w:drawing>
            </w:r>
          </w:p>
          <w:p w14:paraId="4FF4B9B2" w14:textId="77777777" w:rsidR="00EC5413" w:rsidRDefault="00EC5413" w:rsidP="00160824"/>
          <w:p w14:paraId="4FF4B9B3" w14:textId="77777777" w:rsidR="00EC5413" w:rsidRPr="00160824" w:rsidRDefault="00EC5413" w:rsidP="00CB06CB">
            <w:pPr>
              <w:ind w:firstLine="562"/>
            </w:pPr>
          </w:p>
        </w:tc>
        <w:tc>
          <w:tcPr>
            <w:tcW w:w="4381" w:type="dxa"/>
            <w:tcBorders>
              <w:top w:val="single" w:sz="2" w:space="0" w:color="auto"/>
              <w:left w:val="nil"/>
              <w:bottom w:val="single" w:sz="2" w:space="0" w:color="auto"/>
              <w:right w:val="single" w:sz="2" w:space="0" w:color="auto"/>
            </w:tcBorders>
          </w:tcPr>
          <w:p w14:paraId="4FF4B9B4" w14:textId="77777777" w:rsidR="00EC5413" w:rsidRDefault="00EC5413" w:rsidP="002B4720">
            <w:r>
              <w:t>Si se produce un derrame mientras mezcla o toma el medicamento, o queda algún residuo (polvo o líquido en el utensilio de remover, el vaso u otro objeto) en la superficie de mezcla, limpie el material derramado o los residuos preferiblemente con agua caliente y jabón, o un desinfectante antibacteriano, y un paño o una toalla de papel desechable. Deseche la toalla de papel junto con los sobres (ver arriba).</w:t>
            </w:r>
          </w:p>
        </w:tc>
      </w:tr>
      <w:tr w:rsidR="00EC5413" w14:paraId="4FF4B9B9" w14:textId="77777777">
        <w:trPr>
          <w:cantSplit/>
          <w:trHeight w:val="2624"/>
        </w:trPr>
        <w:tc>
          <w:tcPr>
            <w:tcW w:w="1242" w:type="dxa"/>
            <w:tcBorders>
              <w:top w:val="single" w:sz="2" w:space="0" w:color="auto"/>
              <w:left w:val="single" w:sz="2" w:space="0" w:color="auto"/>
              <w:bottom w:val="single" w:sz="2" w:space="0" w:color="auto"/>
              <w:right w:val="nil"/>
            </w:tcBorders>
          </w:tcPr>
          <w:p w14:paraId="4FF4B9B6" w14:textId="77777777" w:rsidR="00EC5413" w:rsidRDefault="00EC5413" w:rsidP="002B4720">
            <w:r>
              <w:t>Paso 15</w:t>
            </w:r>
          </w:p>
        </w:tc>
        <w:tc>
          <w:tcPr>
            <w:tcW w:w="3686" w:type="dxa"/>
            <w:tcBorders>
              <w:top w:val="single" w:sz="2" w:space="0" w:color="auto"/>
              <w:left w:val="nil"/>
              <w:bottom w:val="single" w:sz="2" w:space="0" w:color="auto"/>
              <w:right w:val="nil"/>
            </w:tcBorders>
            <w:tcMar>
              <w:top w:w="28" w:type="dxa"/>
            </w:tcMar>
          </w:tcPr>
          <w:p w14:paraId="4FF4B9B7" w14:textId="3994BA0D" w:rsidR="00EC5413" w:rsidRDefault="00EE6F7E" w:rsidP="002B4720">
            <w:pPr>
              <w:jc w:val="center"/>
            </w:pPr>
            <w:r>
              <w:rPr>
                <w:lang w:eastAsia="es-ES"/>
              </w:rPr>
              <w:drawing>
                <wp:inline distT="0" distB="0" distL="0" distR="0" wp14:anchorId="4FF4BA33" wp14:editId="33575CED">
                  <wp:extent cx="1352550" cy="1790700"/>
                  <wp:effectExtent l="0" t="0" r="0" b="0"/>
                  <wp:docPr id="1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52550" cy="1790700"/>
                          </a:xfrm>
                          <a:prstGeom prst="rect">
                            <a:avLst/>
                          </a:prstGeom>
                          <a:noFill/>
                          <a:ln>
                            <a:noFill/>
                          </a:ln>
                        </pic:spPr>
                      </pic:pic>
                    </a:graphicData>
                  </a:graphic>
                </wp:inline>
              </w:drawing>
            </w:r>
          </w:p>
        </w:tc>
        <w:tc>
          <w:tcPr>
            <w:tcW w:w="4381" w:type="dxa"/>
            <w:tcBorders>
              <w:top w:val="single" w:sz="2" w:space="0" w:color="auto"/>
              <w:left w:val="nil"/>
              <w:bottom w:val="single" w:sz="2" w:space="0" w:color="auto"/>
              <w:right w:val="single" w:sz="2" w:space="0" w:color="auto"/>
            </w:tcBorders>
          </w:tcPr>
          <w:p w14:paraId="4FF4B9B8" w14:textId="35F00CA7" w:rsidR="00EC5413" w:rsidRDefault="00EC5413" w:rsidP="002B4720">
            <w:r>
              <w:t>Lave el vaso y la cuchara o el agitador con jabón y agua caliente.</w:t>
            </w:r>
          </w:p>
        </w:tc>
      </w:tr>
      <w:tr w:rsidR="00EC5413" w14:paraId="4FF4B9BD" w14:textId="77777777">
        <w:trPr>
          <w:cantSplit/>
          <w:trHeight w:val="2624"/>
        </w:trPr>
        <w:tc>
          <w:tcPr>
            <w:tcW w:w="1242" w:type="dxa"/>
            <w:tcBorders>
              <w:top w:val="single" w:sz="2" w:space="0" w:color="auto"/>
              <w:left w:val="single" w:sz="2" w:space="0" w:color="auto"/>
              <w:bottom w:val="single" w:sz="2" w:space="0" w:color="auto"/>
              <w:right w:val="nil"/>
            </w:tcBorders>
          </w:tcPr>
          <w:p w14:paraId="4FF4B9BA" w14:textId="77777777" w:rsidR="00EC5413" w:rsidRDefault="00EC5413" w:rsidP="00B01AD8">
            <w:r>
              <w:t>Paso 16</w:t>
            </w:r>
          </w:p>
        </w:tc>
        <w:tc>
          <w:tcPr>
            <w:tcW w:w="3686" w:type="dxa"/>
            <w:tcBorders>
              <w:top w:val="single" w:sz="2" w:space="0" w:color="auto"/>
              <w:left w:val="nil"/>
              <w:bottom w:val="single" w:sz="2" w:space="0" w:color="auto"/>
              <w:right w:val="nil"/>
            </w:tcBorders>
            <w:tcMar>
              <w:top w:w="28" w:type="dxa"/>
            </w:tcMar>
          </w:tcPr>
          <w:p w14:paraId="4FF4B9BB" w14:textId="0E366653" w:rsidR="00EC5413" w:rsidRPr="002B4720" w:rsidRDefault="00EE6F7E" w:rsidP="00B01AD8">
            <w:pPr>
              <w:jc w:val="center"/>
              <w:rPr>
                <w:lang w:val="en-US" w:eastAsia="en-US"/>
              </w:rPr>
            </w:pPr>
            <w:r>
              <w:rPr>
                <w:lang w:eastAsia="es-ES"/>
              </w:rPr>
              <w:drawing>
                <wp:inline distT="0" distB="0" distL="0" distR="0" wp14:anchorId="4FF4BA34" wp14:editId="06192894">
                  <wp:extent cx="1143000" cy="1590675"/>
                  <wp:effectExtent l="0" t="0" r="0" b="0"/>
                  <wp:docPr id="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43000" cy="1590675"/>
                          </a:xfrm>
                          <a:prstGeom prst="rect">
                            <a:avLst/>
                          </a:prstGeom>
                          <a:noFill/>
                          <a:ln>
                            <a:noFill/>
                          </a:ln>
                        </pic:spPr>
                      </pic:pic>
                    </a:graphicData>
                  </a:graphic>
                </wp:inline>
              </w:drawing>
            </w:r>
          </w:p>
        </w:tc>
        <w:tc>
          <w:tcPr>
            <w:tcW w:w="4381" w:type="dxa"/>
            <w:tcBorders>
              <w:top w:val="single" w:sz="2" w:space="0" w:color="auto"/>
              <w:left w:val="nil"/>
              <w:bottom w:val="single" w:sz="2" w:space="0" w:color="auto"/>
              <w:right w:val="single" w:sz="2" w:space="0" w:color="auto"/>
            </w:tcBorders>
          </w:tcPr>
          <w:p w14:paraId="4FF4B9BC" w14:textId="77777777" w:rsidR="00EC5413" w:rsidRDefault="00EC5413" w:rsidP="00B01AD8">
            <w:r>
              <w:t>Lávese bien las manos con jabón y agua caliente para evitar la contaminación.</w:t>
            </w:r>
          </w:p>
        </w:tc>
      </w:tr>
    </w:tbl>
    <w:p w14:paraId="4FF4B9BE" w14:textId="77777777" w:rsidR="00EC5413" w:rsidRDefault="00EC5413"/>
    <w:p w14:paraId="4FF4B9BF" w14:textId="77777777" w:rsidR="00EC5413" w:rsidRDefault="00EC5413"/>
    <w:p w14:paraId="4FF4B9C0" w14:textId="77777777" w:rsidR="00EC5413" w:rsidRDefault="00EC5413">
      <w:r>
        <w:t>Si tiene cualquier otra duda sobre el uso de este medicamento, pregunte a su médico, farmacéutico o enfermero.</w:t>
      </w:r>
    </w:p>
    <w:p w14:paraId="4FF4B9C1" w14:textId="77777777" w:rsidR="00EC5413" w:rsidRDefault="00EC5413"/>
    <w:p w14:paraId="4FF4B9C2" w14:textId="77777777" w:rsidR="00EC5413" w:rsidRDefault="00EC5413"/>
    <w:p w14:paraId="4FF4B9C3" w14:textId="77777777" w:rsidR="00EC5413" w:rsidRDefault="00EC5413">
      <w:pPr>
        <w:pStyle w:val="Heading1"/>
      </w:pPr>
      <w:r>
        <w:t>4.</w:t>
      </w:r>
      <w:r>
        <w:tab/>
        <w:t>Posibles efectos adversos</w:t>
      </w:r>
    </w:p>
    <w:p w14:paraId="4FF4B9C4" w14:textId="77777777" w:rsidR="00EC5413" w:rsidRDefault="00EC5413">
      <w:pPr>
        <w:keepNext/>
      </w:pPr>
    </w:p>
    <w:p w14:paraId="4FF4B9C5" w14:textId="77777777" w:rsidR="00EC5413" w:rsidRDefault="00EC5413">
      <w:r>
        <w:t>Al igual que todas las vacunas, esta vacuna puede producir efectos adversos, aunque no todas las personas los sufran.</w:t>
      </w:r>
    </w:p>
    <w:p w14:paraId="4FF4B9C6" w14:textId="77777777" w:rsidR="00EC5413" w:rsidRDefault="00EC5413"/>
    <w:p w14:paraId="4FF4B9C7" w14:textId="77777777" w:rsidR="00EC5413" w:rsidRDefault="00EC5413">
      <w:r>
        <w:t>Póngase en contacto con un médico de inmediato si experimenta los siguientes efectos adversos graves:</w:t>
      </w:r>
    </w:p>
    <w:p w14:paraId="4FF4B9C8" w14:textId="46559801" w:rsidR="00EC5413" w:rsidRDefault="00EC5413">
      <w:pPr>
        <w:pStyle w:val="Bullet"/>
        <w:numPr>
          <w:ilvl w:val="0"/>
          <w:numId w:val="22"/>
        </w:numPr>
      </w:pPr>
      <w:r>
        <w:t>reacciones alérgicas graves que provocan hinchazón en la cara o la garganta, urticaria, exantema pruriginoso y falta de aliento o una bajada de la presión arterial y</w:t>
      </w:r>
      <w:r w:rsidR="000775C4">
        <w:t>/o</w:t>
      </w:r>
      <w:r>
        <w:t xml:space="preserve"> desvanecimiento.</w:t>
      </w:r>
    </w:p>
    <w:p w14:paraId="4FF4B9C9" w14:textId="77777777" w:rsidR="00EC5413" w:rsidRDefault="00EC5413"/>
    <w:p w14:paraId="4FF4B9CA" w14:textId="77777777" w:rsidR="00EC5413" w:rsidRDefault="00EC5413">
      <w:pPr>
        <w:keepNext/>
      </w:pPr>
      <w:r>
        <w:t>Otros efectos adversos:</w:t>
      </w:r>
    </w:p>
    <w:p w14:paraId="4FF4B9CB" w14:textId="201ED385" w:rsidR="00EC5413" w:rsidRDefault="00EC5413">
      <w:pPr>
        <w:keepNext/>
      </w:pPr>
      <w:r>
        <w:t>Efectos adversos muy frecuentes (pueden afectar a más de 1 de cada 10 personas):</w:t>
      </w:r>
    </w:p>
    <w:p w14:paraId="4FF4B9CC" w14:textId="77777777" w:rsidR="00EC5413" w:rsidRDefault="00EC5413">
      <w:pPr>
        <w:pStyle w:val="Bullet"/>
        <w:numPr>
          <w:ilvl w:val="0"/>
          <w:numId w:val="22"/>
        </w:numPr>
      </w:pPr>
      <w:r>
        <w:t>cansancio,</w:t>
      </w:r>
    </w:p>
    <w:p w14:paraId="4FF4B9CD" w14:textId="77777777" w:rsidR="00EC5413" w:rsidRDefault="00EC5413">
      <w:pPr>
        <w:pStyle w:val="Bullet"/>
        <w:numPr>
          <w:ilvl w:val="0"/>
          <w:numId w:val="22"/>
        </w:numPr>
      </w:pPr>
      <w:r>
        <w:t>dolor de cabeza,</w:t>
      </w:r>
    </w:p>
    <w:p w14:paraId="4FF4B9CE" w14:textId="77777777" w:rsidR="00EC5413" w:rsidRDefault="00EC5413">
      <w:pPr>
        <w:pStyle w:val="Bullet"/>
        <w:numPr>
          <w:ilvl w:val="0"/>
          <w:numId w:val="22"/>
        </w:numPr>
      </w:pPr>
      <w:r>
        <w:t>dolores estomacales,</w:t>
      </w:r>
    </w:p>
    <w:p w14:paraId="4FF4B9CF" w14:textId="77777777" w:rsidR="00EC5413" w:rsidRDefault="00EC5413">
      <w:pPr>
        <w:pStyle w:val="Bullet"/>
        <w:numPr>
          <w:ilvl w:val="0"/>
          <w:numId w:val="22"/>
        </w:numPr>
      </w:pPr>
      <w:r>
        <w:t>sentirse mareado o vomitar,</w:t>
      </w:r>
    </w:p>
    <w:p w14:paraId="4FF4B9D1" w14:textId="57EFA010" w:rsidR="00EC5413" w:rsidRDefault="003A0C33">
      <w:pPr>
        <w:pStyle w:val="Bullet"/>
        <w:numPr>
          <w:ilvl w:val="0"/>
          <w:numId w:val="22"/>
        </w:numPr>
      </w:pPr>
      <w:r>
        <w:t>disminución</w:t>
      </w:r>
      <w:r w:rsidR="00EC5413">
        <w:t xml:space="preserve"> de</w:t>
      </w:r>
      <w:r>
        <w:t>l</w:t>
      </w:r>
      <w:r w:rsidR="00EC5413">
        <w:t xml:space="preserve"> apetito.</w:t>
      </w:r>
    </w:p>
    <w:p w14:paraId="4FF4B9D2" w14:textId="77777777" w:rsidR="00EC5413" w:rsidRDefault="00EC5413"/>
    <w:p w14:paraId="4FF4B9D3" w14:textId="08652ECD" w:rsidR="00EC5413" w:rsidRDefault="00EC5413">
      <w:pPr>
        <w:keepNext/>
      </w:pPr>
      <w:r>
        <w:lastRenderedPageBreak/>
        <w:t>Efectos adversos frecuentes (pueden afectar hasta 1 de cada 10 personas):</w:t>
      </w:r>
    </w:p>
    <w:p w14:paraId="4FF4B9D4" w14:textId="77777777" w:rsidR="00EC5413" w:rsidRDefault="00EC5413">
      <w:pPr>
        <w:pStyle w:val="Bullet"/>
        <w:numPr>
          <w:ilvl w:val="0"/>
          <w:numId w:val="22"/>
        </w:numPr>
      </w:pPr>
      <w:r>
        <w:t>diarrea.</w:t>
      </w:r>
    </w:p>
    <w:p w14:paraId="4FF4B9D5" w14:textId="77777777" w:rsidR="00EC5413" w:rsidRDefault="00EC5413"/>
    <w:p w14:paraId="4FF4B9D6" w14:textId="05C4F589" w:rsidR="00EC5413" w:rsidRDefault="00EC5413">
      <w:pPr>
        <w:keepNext/>
      </w:pPr>
      <w:r>
        <w:t>Efectos adversos poco frecuentes (pueden afectar hasta 1 de cada 100 personas):</w:t>
      </w:r>
    </w:p>
    <w:p w14:paraId="4FF4B9D7" w14:textId="77777777" w:rsidR="00EC5413" w:rsidRDefault="00EC5413">
      <w:pPr>
        <w:pStyle w:val="Bullet"/>
        <w:numPr>
          <w:ilvl w:val="0"/>
          <w:numId w:val="22"/>
        </w:numPr>
      </w:pPr>
      <w:r>
        <w:t>fiebre,</w:t>
      </w:r>
    </w:p>
    <w:p w14:paraId="4FF4B9D8" w14:textId="77777777" w:rsidR="00EC5413" w:rsidRDefault="00EC5413">
      <w:pPr>
        <w:pStyle w:val="Bullet"/>
        <w:numPr>
          <w:ilvl w:val="0"/>
          <w:numId w:val="22"/>
        </w:numPr>
      </w:pPr>
      <w:r>
        <w:t>dolor articular,</w:t>
      </w:r>
    </w:p>
    <w:p w14:paraId="4FF4B9D9" w14:textId="77777777" w:rsidR="00EC5413" w:rsidRDefault="00EC5413">
      <w:pPr>
        <w:pStyle w:val="Bullet"/>
        <w:numPr>
          <w:ilvl w:val="0"/>
          <w:numId w:val="22"/>
        </w:numPr>
      </w:pPr>
      <w:r>
        <w:t>mareo,</w:t>
      </w:r>
    </w:p>
    <w:p w14:paraId="4FF4B9DA" w14:textId="77777777" w:rsidR="00EC5413" w:rsidRDefault="00EC5413">
      <w:pPr>
        <w:pStyle w:val="Bullet"/>
        <w:numPr>
          <w:ilvl w:val="0"/>
          <w:numId w:val="22"/>
        </w:numPr>
      </w:pPr>
      <w:r>
        <w:t>gases (distensión abdominal),</w:t>
      </w:r>
    </w:p>
    <w:p w14:paraId="4FF4B9DB" w14:textId="77777777" w:rsidR="00EC5413" w:rsidRDefault="00EC5413">
      <w:pPr>
        <w:pStyle w:val="Bullet"/>
        <w:numPr>
          <w:ilvl w:val="0"/>
          <w:numId w:val="22"/>
        </w:numPr>
      </w:pPr>
      <w:r>
        <w:t>sarpullido,</w:t>
      </w:r>
    </w:p>
    <w:p w14:paraId="4FF4B9DC" w14:textId="700C31D4" w:rsidR="00EC5413" w:rsidRDefault="00EC5413">
      <w:pPr>
        <w:pStyle w:val="Bullet"/>
        <w:numPr>
          <w:ilvl w:val="0"/>
          <w:numId w:val="22"/>
        </w:numPr>
      </w:pPr>
      <w:r>
        <w:t xml:space="preserve">sequedad </w:t>
      </w:r>
      <w:r w:rsidR="00D00E92">
        <w:t>de boca</w:t>
      </w:r>
      <w:r>
        <w:t>,</w:t>
      </w:r>
    </w:p>
    <w:p w14:paraId="4FF4B9DD" w14:textId="77777777" w:rsidR="00EC5413" w:rsidRDefault="00EC5413">
      <w:pPr>
        <w:pStyle w:val="Bullet"/>
        <w:numPr>
          <w:ilvl w:val="0"/>
          <w:numId w:val="22"/>
        </w:numPr>
      </w:pPr>
      <w:r>
        <w:t>estreñimiento,</w:t>
      </w:r>
    </w:p>
    <w:p w14:paraId="4FF4B9DE" w14:textId="77777777" w:rsidR="00EC5413" w:rsidRDefault="00EC5413">
      <w:pPr>
        <w:pStyle w:val="Bullet"/>
        <w:numPr>
          <w:ilvl w:val="0"/>
          <w:numId w:val="22"/>
        </w:numPr>
      </w:pPr>
      <w:r>
        <w:t>flatulencia,</w:t>
      </w:r>
    </w:p>
    <w:p w14:paraId="4FF4B9DF" w14:textId="77777777" w:rsidR="00EC5413" w:rsidRDefault="00EC5413">
      <w:pPr>
        <w:pStyle w:val="Bullet"/>
        <w:numPr>
          <w:ilvl w:val="0"/>
          <w:numId w:val="22"/>
        </w:numPr>
      </w:pPr>
      <w:r>
        <w:t>eructos,</w:t>
      </w:r>
    </w:p>
    <w:p w14:paraId="4FF4B9E0" w14:textId="77777777" w:rsidR="00EC5413" w:rsidRDefault="00EC5413" w:rsidP="00BE5CF1">
      <w:pPr>
        <w:pStyle w:val="Bullet"/>
        <w:numPr>
          <w:ilvl w:val="0"/>
          <w:numId w:val="22"/>
        </w:numPr>
      </w:pPr>
      <w:r>
        <w:t>indigestión,</w:t>
      </w:r>
    </w:p>
    <w:p w14:paraId="4FF4B9EB" w14:textId="421899F4" w:rsidR="00EC5413" w:rsidRDefault="00EC5413">
      <w:pPr>
        <w:pStyle w:val="Bullet"/>
        <w:numPr>
          <w:ilvl w:val="0"/>
          <w:numId w:val="22"/>
        </w:numPr>
      </w:pPr>
      <w:r>
        <w:t>heces anormales.</w:t>
      </w:r>
    </w:p>
    <w:p w14:paraId="4FF4B9EC" w14:textId="77777777" w:rsidR="00EC5413" w:rsidRDefault="00EC5413"/>
    <w:p w14:paraId="4FF4B9ED" w14:textId="22AE9D4D" w:rsidR="00EC5413" w:rsidRDefault="00EC5413">
      <w:pPr>
        <w:keepNext/>
      </w:pPr>
      <w:r>
        <w:t>Efectos adversos raros (pueden afectar hasta 1 de cada 1 000 personas):</w:t>
      </w:r>
    </w:p>
    <w:p w14:paraId="4FF4B9EE" w14:textId="77777777" w:rsidR="00EC5413" w:rsidRDefault="00EC5413">
      <w:pPr>
        <w:pStyle w:val="Bullet"/>
        <w:numPr>
          <w:ilvl w:val="0"/>
          <w:numId w:val="22"/>
        </w:numPr>
      </w:pPr>
      <w:r>
        <w:t>escalofríos.</w:t>
      </w:r>
    </w:p>
    <w:p w14:paraId="4FF4B9EF" w14:textId="77777777" w:rsidR="00EC5413" w:rsidRDefault="00EC5413"/>
    <w:p w14:paraId="4FF4B9F0" w14:textId="77777777" w:rsidR="00EC5413" w:rsidRPr="00BE5CF1" w:rsidRDefault="00EC5413" w:rsidP="00BE5CF1">
      <w:pPr>
        <w:ind w:right="-2"/>
        <w:rPr>
          <w:highlight w:val="yellow"/>
          <w:u w:val="single"/>
        </w:rPr>
      </w:pPr>
      <w:r w:rsidRPr="0079404B">
        <w:rPr>
          <w:u w:val="single"/>
        </w:rPr>
        <w:t>Efectos adversos adicionales en niños y adolescentes</w:t>
      </w:r>
    </w:p>
    <w:p w14:paraId="4FF4B9F1" w14:textId="77777777" w:rsidR="00EC5413" w:rsidRPr="0079404B" w:rsidRDefault="00EC5413" w:rsidP="00BE5CF1">
      <w:pPr>
        <w:pStyle w:val="HeadingStrong"/>
        <w:rPr>
          <w:b w:val="0"/>
          <w:bCs w:val="0"/>
        </w:rPr>
      </w:pPr>
      <w:r>
        <w:rPr>
          <w:b w:val="0"/>
          <w:bCs w:val="0"/>
        </w:rPr>
        <w:t>De acuerdo con los</w:t>
      </w:r>
      <w:r w:rsidRPr="0079404B">
        <w:rPr>
          <w:b w:val="0"/>
          <w:bCs w:val="0"/>
        </w:rPr>
        <w:t xml:space="preserve"> ensayos clínicos, </w:t>
      </w:r>
      <w:r>
        <w:rPr>
          <w:b w:val="0"/>
          <w:bCs w:val="0"/>
        </w:rPr>
        <w:t>se espera</w:t>
      </w:r>
      <w:r w:rsidRPr="0079404B">
        <w:rPr>
          <w:b w:val="0"/>
          <w:bCs w:val="0"/>
        </w:rPr>
        <w:t xml:space="preserve"> que </w:t>
      </w:r>
      <w:r>
        <w:rPr>
          <w:b w:val="0"/>
          <w:bCs w:val="0"/>
        </w:rPr>
        <w:t>las</w:t>
      </w:r>
      <w:r w:rsidRPr="0079404B">
        <w:rPr>
          <w:b w:val="0"/>
          <w:bCs w:val="0"/>
        </w:rPr>
        <w:t xml:space="preserve"> reacciones adversas en los niños sean</w:t>
      </w:r>
      <w:r>
        <w:rPr>
          <w:b w:val="0"/>
          <w:bCs w:val="0"/>
        </w:rPr>
        <w:t xml:space="preserve"> de tipo similar</w:t>
      </w:r>
      <w:r w:rsidRPr="0079404B">
        <w:rPr>
          <w:b w:val="0"/>
          <w:bCs w:val="0"/>
        </w:rPr>
        <w:t xml:space="preserve"> a las de los adultos. Algunas </w:t>
      </w:r>
      <w:r w:rsidRPr="00BE5CF1">
        <w:rPr>
          <w:b w:val="0"/>
          <w:bCs w:val="0"/>
        </w:rPr>
        <w:t>reacciones adversas</w:t>
      </w:r>
      <w:r w:rsidRPr="0079404B">
        <w:rPr>
          <w:b w:val="0"/>
          <w:bCs w:val="0"/>
        </w:rPr>
        <w:t xml:space="preserve"> fueron más frecuentes en los niños que en los adultos, como </w:t>
      </w:r>
      <w:r>
        <w:rPr>
          <w:b w:val="0"/>
          <w:bCs w:val="0"/>
        </w:rPr>
        <w:t>cansancio, dolor de estómago, vómitos, disminución del apetito y fiebre</w:t>
      </w:r>
      <w:r w:rsidRPr="0079404B">
        <w:rPr>
          <w:b w:val="0"/>
          <w:bCs w:val="0"/>
        </w:rPr>
        <w:t>.</w:t>
      </w:r>
    </w:p>
    <w:p w14:paraId="4FF4B9F2" w14:textId="77777777" w:rsidR="00EC5413" w:rsidRPr="00BE5CF1" w:rsidRDefault="00EC5413" w:rsidP="0079404B">
      <w:pPr>
        <w:pStyle w:val="NormalKeep"/>
      </w:pPr>
    </w:p>
    <w:p w14:paraId="4FF4B9F3" w14:textId="77777777" w:rsidR="00EC5413" w:rsidRDefault="00EC5413">
      <w:pPr>
        <w:pStyle w:val="HeadingStrong"/>
      </w:pPr>
      <w:r>
        <w:t>Comunicación de efectos adversos</w:t>
      </w:r>
    </w:p>
    <w:p w14:paraId="4FF4B9F4" w14:textId="0256F942" w:rsidR="00EC5413" w:rsidRPr="00840D60" w:rsidRDefault="00EC5413" w:rsidP="00840D60">
      <w:pPr>
        <w:tabs>
          <w:tab w:val="left" w:pos="-720"/>
        </w:tabs>
        <w:rPr>
          <w:rFonts w:eastAsia="Calibri"/>
          <w:color w:val="000080"/>
          <w:lang w:val="es-ES_tradnl"/>
        </w:rPr>
      </w:pPr>
      <w:r>
        <w:t xml:space="preserve">Si experimenta cualquier tipo de efecto adverso, consulte a su médico, farmacéutico o enfermero, incluso si se trata de </w:t>
      </w:r>
      <w:r w:rsidRPr="00EE3920">
        <w:t>posibles</w:t>
      </w:r>
      <w:r>
        <w:t xml:space="preserve"> efectos adversos que no aparecen en este prospecto. También puede comunicarlos directamente a través del </w:t>
      </w:r>
      <w:r w:rsidR="00840D60" w:rsidRPr="00BB06F8">
        <w:rPr>
          <w:rFonts w:eastAsia="Calibri"/>
        </w:rPr>
        <w:t>Sistema Español de Farmacovigilancia de Medicamentos de Uso Humano</w:t>
      </w:r>
      <w:r w:rsidR="00840D60" w:rsidRPr="006A257C">
        <w:rPr>
          <w:rFonts w:eastAsia="Calibri"/>
          <w:color w:val="000080"/>
          <w:lang w:val="es-ES_tradnl"/>
        </w:rPr>
        <w:t xml:space="preserve">: </w:t>
      </w:r>
      <w:hyperlink r:id="rId25" w:history="1">
        <w:r w:rsidR="00840D60" w:rsidRPr="006A257C">
          <w:rPr>
            <w:rFonts w:eastAsia="Calibri"/>
            <w:color w:val="0000FF"/>
            <w:u w:val="single"/>
            <w:lang w:val="es-ES_tradnl"/>
          </w:rPr>
          <w:t>www.notificaRAM.es</w:t>
        </w:r>
      </w:hyperlink>
      <w:r>
        <w:t>. Mediante la comunicación de efectos adversos usted puede contribuir a proporcionar más información sobre la seguridad de este medicamento.</w:t>
      </w:r>
    </w:p>
    <w:p w14:paraId="4FF4B9F5" w14:textId="77777777" w:rsidR="00EC5413" w:rsidRDefault="00EC5413"/>
    <w:p w14:paraId="4FF4B9F6" w14:textId="77777777" w:rsidR="00EC5413" w:rsidRDefault="00EC5413"/>
    <w:p w14:paraId="4FF4B9F7" w14:textId="77777777" w:rsidR="00EC5413" w:rsidRDefault="00EC5413">
      <w:pPr>
        <w:pStyle w:val="Heading1"/>
      </w:pPr>
      <w:r>
        <w:t>5.</w:t>
      </w:r>
      <w:r>
        <w:tab/>
        <w:t>Conservación de Vaxchora</w:t>
      </w:r>
    </w:p>
    <w:p w14:paraId="4FF4B9F8" w14:textId="77777777" w:rsidR="00EC5413" w:rsidRDefault="00EC5413">
      <w:pPr>
        <w:keepNext/>
      </w:pPr>
    </w:p>
    <w:p w14:paraId="4FF4B9F9" w14:textId="77777777" w:rsidR="00EC5413" w:rsidRDefault="00EC5413">
      <w:r>
        <w:t>Mantener esta vacuna fuera de la vista y del alcance de los niños.</w:t>
      </w:r>
    </w:p>
    <w:p w14:paraId="4FF4B9FA" w14:textId="77777777" w:rsidR="00EC5413" w:rsidRDefault="00EC5413"/>
    <w:p w14:paraId="4FF4B9FB" w14:textId="22C184E6" w:rsidR="00EC5413" w:rsidRDefault="00EC5413">
      <w:r>
        <w:t>No utilice esta vacuna después de la fecha de caducidad que aparece en la caja. La fecha de caducidad es el último día del mes que se indica.</w:t>
      </w:r>
    </w:p>
    <w:p w14:paraId="4FF4B9FC" w14:textId="77777777" w:rsidR="00EC5413" w:rsidRDefault="00EC5413"/>
    <w:p w14:paraId="4FF4B9FD" w14:textId="2CD9B2BB" w:rsidR="00EC5413" w:rsidRPr="00300219" w:rsidRDefault="00EC5413">
      <w:r w:rsidRPr="00300219">
        <w:t>Conservar en nevera (entre 2 °C y 8 °C).</w:t>
      </w:r>
    </w:p>
    <w:p w14:paraId="4FF4B9FE" w14:textId="77777777" w:rsidR="00EC5413" w:rsidRDefault="00EC5413">
      <w:r>
        <w:t>Conservar en el embalaje original para protegerla de la luz y la humedad.</w:t>
      </w:r>
    </w:p>
    <w:p w14:paraId="4FF4B9FF" w14:textId="2B868486" w:rsidR="00EC5413" w:rsidRDefault="00EC5413">
      <w:r>
        <w:t xml:space="preserve">En su embalaje original, la vacuna es estable hasta 12 horas a 25 °C. </w:t>
      </w:r>
      <w:r w:rsidRPr="00E25405">
        <w:t>A</w:t>
      </w:r>
      <w:r>
        <w:t>l final de este</w:t>
      </w:r>
      <w:r w:rsidRPr="00E25405">
        <w:t xml:space="preserve"> period</w:t>
      </w:r>
      <w:r>
        <w:t>o,</w:t>
      </w:r>
      <w:r w:rsidRPr="00E25405">
        <w:t xml:space="preserve"> </w:t>
      </w:r>
      <w:r>
        <w:t>la vacuna debe utilizarse inmediatamente o</w:t>
      </w:r>
      <w:r w:rsidRPr="00E25405">
        <w:t xml:space="preserve"> </w:t>
      </w:r>
      <w:r>
        <w:t>desecharse</w:t>
      </w:r>
      <w:r w:rsidRPr="00E25405">
        <w:t>.</w:t>
      </w:r>
      <w:r>
        <w:t xml:space="preserve"> Evite exponer Vaxchora a temperaturas superiores a 25 °C.</w:t>
      </w:r>
    </w:p>
    <w:p w14:paraId="4FF4BA00" w14:textId="77777777" w:rsidR="00EC5413" w:rsidRDefault="00EC5413"/>
    <w:p w14:paraId="4FF4BA01" w14:textId="77777777" w:rsidR="00EC5413" w:rsidRDefault="00EC5413">
      <w:r>
        <w:t>No utilice esta vacuna si observa que los sobres están dañados y póngase en contacto con su médico, farmacéutico o enfermero para obtener una dosis de sustitución.</w:t>
      </w:r>
    </w:p>
    <w:p w14:paraId="4FF4BA02" w14:textId="77777777" w:rsidR="00EC5413" w:rsidRDefault="00EC5413"/>
    <w:p w14:paraId="4FF4BA03" w14:textId="3E41C42C" w:rsidR="00EC5413" w:rsidRDefault="00EC5413">
      <w:r>
        <w:t>Este medicamento contiene organismos modificados genéticamente. Se deben seguir las directrices locales en materia de bioseguridad para eliminar el medicamento no utilizado y todos los materiales que hayan estado en contacto con él. Pregunte a su médico, farmacéutico o enfermero cómo deshacerse de los envases y de los medicamentos que ya no necesita y de todos los materiales que hayan estado en contacto con ellos.</w:t>
      </w:r>
    </w:p>
    <w:p w14:paraId="4FF4BA04" w14:textId="77777777" w:rsidR="00EC5413" w:rsidRDefault="00EC5413"/>
    <w:p w14:paraId="4FF4BA05" w14:textId="77777777" w:rsidR="00EC5413" w:rsidRDefault="00EC5413"/>
    <w:p w14:paraId="4FF4BA06" w14:textId="77777777" w:rsidR="00EC5413" w:rsidRDefault="00EC5413">
      <w:pPr>
        <w:pStyle w:val="Heading1"/>
      </w:pPr>
      <w:r>
        <w:lastRenderedPageBreak/>
        <w:t>6.</w:t>
      </w:r>
      <w:r>
        <w:tab/>
        <w:t>Contenido del envase e información adicional</w:t>
      </w:r>
    </w:p>
    <w:p w14:paraId="4FF4BA07" w14:textId="77777777" w:rsidR="00EC5413" w:rsidRDefault="00EC5413">
      <w:pPr>
        <w:keepNext/>
      </w:pPr>
    </w:p>
    <w:p w14:paraId="4FF4BA08" w14:textId="77777777" w:rsidR="00EC5413" w:rsidRDefault="00EC5413">
      <w:pPr>
        <w:pStyle w:val="HeadingStrong"/>
      </w:pPr>
      <w:r>
        <w:t>Composición de Vaxchora</w:t>
      </w:r>
    </w:p>
    <w:p w14:paraId="4FF4BA09" w14:textId="637F14F9" w:rsidR="00EC5413" w:rsidRDefault="00EC5413">
      <w:pPr>
        <w:pStyle w:val="Bullet-"/>
        <w:numPr>
          <w:ilvl w:val="0"/>
          <w:numId w:val="23"/>
        </w:numPr>
      </w:pPr>
      <w:r>
        <w:t>Cada dosis contiene de 4 × 10</w:t>
      </w:r>
      <w:r>
        <w:rPr>
          <w:rStyle w:val="Superscript"/>
        </w:rPr>
        <w:t>8</w:t>
      </w:r>
      <w:r>
        <w:t xml:space="preserve"> a 2 × 10</w:t>
      </w:r>
      <w:r>
        <w:rPr>
          <w:rStyle w:val="Superscript"/>
        </w:rPr>
        <w:t>9</w:t>
      </w:r>
      <w:r>
        <w:t> células viables de la cepa CVD 103</w:t>
      </w:r>
      <w:r>
        <w:noBreakHyphen/>
        <w:t xml:space="preserve">HgR de </w:t>
      </w:r>
      <w:r>
        <w:rPr>
          <w:rStyle w:val="Emphasis"/>
        </w:rPr>
        <w:t>Vibrio</w:t>
      </w:r>
      <w:r>
        <w:t xml:space="preserve"> </w:t>
      </w:r>
      <w:r>
        <w:rPr>
          <w:rStyle w:val="Emphasis"/>
        </w:rPr>
        <w:t>cholerae</w:t>
      </w:r>
      <w:r w:rsidRPr="002C3071">
        <w:rPr>
          <w:vertAlign w:val="superscript"/>
        </w:rPr>
        <w:t>1</w:t>
      </w:r>
      <w:r>
        <w:t>.</w:t>
      </w:r>
    </w:p>
    <w:p w14:paraId="4FF4BA0A" w14:textId="4F007E46" w:rsidR="00EC5413" w:rsidRDefault="00EC5413">
      <w:pPr>
        <w:pStyle w:val="Bullet-"/>
        <w:numPr>
          <w:ilvl w:val="0"/>
          <w:numId w:val="23"/>
        </w:numPr>
      </w:pPr>
      <w:r>
        <w:t>Los demás componentes son sacarosa, caseína hidrolizada, ácido ascórbico, lactosa, bicarbonato de sodio y carbonato de sodio (ver sección 2. Vaxchora contiene lactosa, sacarosa y sodio).</w:t>
      </w:r>
    </w:p>
    <w:p w14:paraId="4FF4BA0B" w14:textId="77777777" w:rsidR="00EC5413" w:rsidRDefault="00EC5413">
      <w:pPr>
        <w:pStyle w:val="Bullet-"/>
        <w:numPr>
          <w:ilvl w:val="0"/>
          <w:numId w:val="23"/>
        </w:numPr>
      </w:pPr>
      <w:r>
        <w:t>Esta vacuna contiene organismos modificados genéticamente (OMG).</w:t>
      </w:r>
    </w:p>
    <w:p w14:paraId="4FF4BA0C" w14:textId="77777777" w:rsidR="00EC5413" w:rsidRDefault="00EC5413" w:rsidP="00BE5CF1">
      <w:pPr>
        <w:numPr>
          <w:ilvl w:val="12"/>
          <w:numId w:val="0"/>
        </w:numPr>
        <w:ind w:right="-2"/>
      </w:pPr>
    </w:p>
    <w:p w14:paraId="4FF4BA0D" w14:textId="77777777" w:rsidR="00EC5413" w:rsidRPr="00BE5CF1" w:rsidRDefault="00EC5413" w:rsidP="00BE5CF1">
      <w:r w:rsidRPr="00BE5CF1">
        <w:rPr>
          <w:vertAlign w:val="superscript"/>
        </w:rPr>
        <w:t>1</w:t>
      </w:r>
      <w:r w:rsidRPr="00BE5CF1">
        <w:t xml:space="preserve"> </w:t>
      </w:r>
      <w:r w:rsidRPr="0079404B">
        <w:t>Producida mediante tecnología de ADN</w:t>
      </w:r>
      <w:r w:rsidRPr="00BE5CF1">
        <w:t xml:space="preserve"> recombinant</w:t>
      </w:r>
      <w:r w:rsidRPr="0079404B">
        <w:t>e</w:t>
      </w:r>
      <w:r w:rsidRPr="00BE5CF1">
        <w:t>.</w:t>
      </w:r>
    </w:p>
    <w:p w14:paraId="4FF4BA0E" w14:textId="77777777" w:rsidR="00EC5413" w:rsidRPr="00BE5CF1" w:rsidRDefault="00EC5413"/>
    <w:p w14:paraId="4FF4BA0F" w14:textId="60F9347F" w:rsidR="00EC5413" w:rsidRDefault="00EC5413">
      <w:pPr>
        <w:pStyle w:val="HeadingStrong"/>
      </w:pPr>
      <w:r>
        <w:t>Aspecto del producto y contenido del envase</w:t>
      </w:r>
    </w:p>
    <w:p w14:paraId="4FF4BA10" w14:textId="2B35BEE2" w:rsidR="00EC5413" w:rsidRDefault="00EC5413">
      <w:r>
        <w:t xml:space="preserve">Una dosis de Vaxchora polvo efervescente y polvo para suspensión oral se presenta en una caja que contiene dos sobres. Un sobre contiene el polvo efervescente de bicarbonato de sodio tampón de color blanco a blanquecino. El otro sobre contiene el polvo para suspensión oral del principio activo de color blanco a </w:t>
      </w:r>
      <w:r w:rsidR="00E53E62">
        <w:t>beige</w:t>
      </w:r>
      <w:r>
        <w:t>.</w:t>
      </w:r>
    </w:p>
    <w:p w14:paraId="4FF4BA11" w14:textId="77777777" w:rsidR="00EC5413" w:rsidRDefault="00EC5413"/>
    <w:p w14:paraId="4FF4BA12" w14:textId="77777777" w:rsidR="00EC5413" w:rsidRDefault="00EC5413">
      <w:pPr>
        <w:pStyle w:val="HeadingStrong"/>
      </w:pPr>
      <w:r>
        <w:t>Titular de la autorización de comercialización</w:t>
      </w:r>
    </w:p>
    <w:p w14:paraId="4FF4BA13" w14:textId="77777777" w:rsidR="00EC5413" w:rsidRDefault="00EC5413">
      <w:pPr>
        <w:keepNext/>
      </w:pPr>
    </w:p>
    <w:p w14:paraId="4FF4BA14" w14:textId="23E3AA26" w:rsidR="00EC5413" w:rsidRPr="00C82CAD" w:rsidRDefault="00EC5413" w:rsidP="00D25AFA">
      <w:pPr>
        <w:rPr>
          <w:lang w:val="en-GB"/>
        </w:rPr>
      </w:pPr>
      <w:r w:rsidRPr="00C82CAD">
        <w:rPr>
          <w:lang w:val="en-GB"/>
        </w:rPr>
        <w:t>Bavarian Nordic A/S, Philip Heymans Alle</w:t>
      </w:r>
      <w:r>
        <w:rPr>
          <w:lang w:val="en-GB"/>
        </w:rPr>
        <w:t> </w:t>
      </w:r>
      <w:r w:rsidRPr="00C82CAD">
        <w:rPr>
          <w:lang w:val="en-GB"/>
        </w:rPr>
        <w:t>3, DK</w:t>
      </w:r>
      <w:r>
        <w:rPr>
          <w:lang w:val="en-GB"/>
        </w:rPr>
        <w:noBreakHyphen/>
      </w:r>
      <w:r w:rsidRPr="00C82CAD">
        <w:rPr>
          <w:lang w:val="en-GB"/>
        </w:rPr>
        <w:t>2900</w:t>
      </w:r>
      <w:r>
        <w:rPr>
          <w:lang w:val="en-GB"/>
        </w:rPr>
        <w:t> </w:t>
      </w:r>
      <w:r w:rsidRPr="00C82CAD">
        <w:rPr>
          <w:lang w:val="en-GB"/>
        </w:rPr>
        <w:t>Hellerup, Dinamarca.</w:t>
      </w:r>
    </w:p>
    <w:p w14:paraId="4FF4BA15" w14:textId="77777777" w:rsidR="00EC5413" w:rsidRPr="00C82CAD" w:rsidRDefault="00EC5413">
      <w:pPr>
        <w:rPr>
          <w:lang w:val="en-GB"/>
        </w:rPr>
      </w:pPr>
    </w:p>
    <w:p w14:paraId="4FF4BA16" w14:textId="77777777" w:rsidR="00EC5413" w:rsidRPr="00300219" w:rsidRDefault="00EC5413">
      <w:pPr>
        <w:pStyle w:val="HeadingStrong"/>
        <w:rPr>
          <w:lang w:val="fr-FR"/>
        </w:rPr>
      </w:pPr>
      <w:r w:rsidRPr="00300219">
        <w:rPr>
          <w:lang w:val="fr-FR"/>
        </w:rPr>
        <w:t>Responsable de la fabricación</w:t>
      </w:r>
    </w:p>
    <w:p w14:paraId="4FF4BA17" w14:textId="77777777" w:rsidR="00EC5413" w:rsidRPr="00300219" w:rsidRDefault="00EC5413">
      <w:pPr>
        <w:keepNext/>
        <w:rPr>
          <w:lang w:val="fr-FR"/>
        </w:rPr>
      </w:pPr>
    </w:p>
    <w:p w14:paraId="4FF4BA18" w14:textId="700332BE" w:rsidR="00EC5413" w:rsidRPr="00300219" w:rsidRDefault="00EC5413">
      <w:pPr>
        <w:rPr>
          <w:lang w:val="fr-FR"/>
        </w:rPr>
      </w:pPr>
      <w:r w:rsidRPr="00300219">
        <w:rPr>
          <w:lang w:val="fr-FR"/>
        </w:rPr>
        <w:t>IL</w:t>
      </w:r>
      <w:r w:rsidRPr="0079404B">
        <w:rPr>
          <w:lang w:val="fr-FR"/>
        </w:rPr>
        <w:noBreakHyphen/>
      </w:r>
      <w:r w:rsidRPr="00300219">
        <w:rPr>
          <w:lang w:val="fr-FR"/>
        </w:rPr>
        <w:t>CSM GmbH</w:t>
      </w:r>
    </w:p>
    <w:p w14:paraId="4FF4BA19" w14:textId="35E40EE7" w:rsidR="00EC5413" w:rsidRPr="0079404B" w:rsidRDefault="00EC5413">
      <w:pPr>
        <w:rPr>
          <w:lang w:val="fr-CH"/>
        </w:rPr>
      </w:pPr>
      <w:r w:rsidRPr="0079404B">
        <w:rPr>
          <w:lang w:val="fr-CH"/>
        </w:rPr>
        <w:t>Marie</w:t>
      </w:r>
      <w:r>
        <w:rPr>
          <w:lang w:val="fr-CH"/>
        </w:rPr>
        <w:noBreakHyphen/>
      </w:r>
      <w:r w:rsidRPr="0079404B">
        <w:rPr>
          <w:lang w:val="fr-CH"/>
        </w:rPr>
        <w:t>Curie</w:t>
      </w:r>
      <w:r>
        <w:rPr>
          <w:lang w:val="fr-CH"/>
        </w:rPr>
        <w:noBreakHyphen/>
      </w:r>
      <w:r w:rsidRPr="0079404B">
        <w:rPr>
          <w:lang w:val="fr-CH"/>
        </w:rPr>
        <w:t>Strasse</w:t>
      </w:r>
      <w:r>
        <w:rPr>
          <w:lang w:val="fr-CH"/>
        </w:rPr>
        <w:t> </w:t>
      </w:r>
      <w:r w:rsidRPr="0079404B">
        <w:rPr>
          <w:lang w:val="fr-CH"/>
        </w:rPr>
        <w:t>8</w:t>
      </w:r>
    </w:p>
    <w:p w14:paraId="4FF4BA1A" w14:textId="091C79D4" w:rsidR="00EC5413" w:rsidRPr="001550F0" w:rsidRDefault="00EC5413">
      <w:r w:rsidRPr="001550F0">
        <w:t>D</w:t>
      </w:r>
      <w:r w:rsidRPr="001550F0">
        <w:noBreakHyphen/>
        <w:t>79539 Lörrach</w:t>
      </w:r>
    </w:p>
    <w:p w14:paraId="4FF4BA1B" w14:textId="77777777" w:rsidR="00EC5413" w:rsidRPr="001550F0" w:rsidRDefault="00EC5413">
      <w:r w:rsidRPr="001550F0">
        <w:t>Alemania</w:t>
      </w:r>
    </w:p>
    <w:p w14:paraId="4FF4BA1C" w14:textId="77777777" w:rsidR="00EC5413" w:rsidRPr="001550F0" w:rsidRDefault="00EC5413"/>
    <w:p w14:paraId="4FF4BA1D" w14:textId="37ED46B2" w:rsidR="00EC5413" w:rsidRDefault="00EC5413">
      <w:r>
        <w:rPr>
          <w:rStyle w:val="Strong"/>
        </w:rPr>
        <w:t>Fecha de la última revisión de este prospecto:</w:t>
      </w:r>
      <w:r>
        <w:t xml:space="preserve"> </w:t>
      </w:r>
      <w:r w:rsidR="00840D60">
        <w:t>01/2025</w:t>
      </w:r>
      <w:r w:rsidR="00427A9D">
        <w:t>.</w:t>
      </w:r>
    </w:p>
    <w:p w14:paraId="4FF4BA1E" w14:textId="77777777" w:rsidR="00EC5413" w:rsidRDefault="00EC5413"/>
    <w:p w14:paraId="4FF4BA1F" w14:textId="77777777" w:rsidR="00EC5413" w:rsidRDefault="00EC5413">
      <w:pPr>
        <w:pStyle w:val="HeadingStrong"/>
      </w:pPr>
      <w:r>
        <w:t>Otras fuentes de información</w:t>
      </w:r>
    </w:p>
    <w:p w14:paraId="4FF4BA20" w14:textId="77777777" w:rsidR="00EC5413" w:rsidRDefault="00EC5413"/>
    <w:p w14:paraId="4FF4BA21" w14:textId="07C4E9F0" w:rsidR="00EC5413" w:rsidRDefault="00EC5413">
      <w:r>
        <w:t xml:space="preserve">La información detallada de </w:t>
      </w:r>
      <w:r w:rsidRPr="00311AE6">
        <w:t>este</w:t>
      </w:r>
      <w:r>
        <w:t xml:space="preserve"> medicamento está disponible en la página web de la Agencia Europea de Medicamentos: </w:t>
      </w:r>
      <w:hyperlink r:id="rId26" w:history="1">
        <w:r w:rsidR="007967C1" w:rsidRPr="007967C1">
          <w:rPr>
            <w:rStyle w:val="Hyperlink"/>
            <w:lang w:eastAsia="es-ES"/>
          </w:rPr>
          <w:t>http</w:t>
        </w:r>
        <w:r w:rsidR="007967C1" w:rsidRPr="001E1C94">
          <w:rPr>
            <w:rStyle w:val="Hyperlink"/>
            <w:lang w:eastAsia="es-ES"/>
          </w:rPr>
          <w:t>s://www.ema.europa.eu</w:t>
        </w:r>
      </w:hyperlink>
      <w:r>
        <w:t>.</w:t>
      </w:r>
    </w:p>
    <w:p w14:paraId="4FF4BA22" w14:textId="77777777" w:rsidR="00EC5413" w:rsidRDefault="00EC5413"/>
    <w:p w14:paraId="4FF4BA23" w14:textId="73CD4FED" w:rsidR="00EC5413" w:rsidRDefault="00EC5413" w:rsidP="008B3CEC"/>
    <w:sectPr w:rsidR="00EC5413" w:rsidSect="009039BA">
      <w:headerReference w:type="even" r:id="rId27"/>
      <w:headerReference w:type="default" r:id="rId28"/>
      <w:footerReference w:type="even" r:id="rId29"/>
      <w:footerReference w:type="default" r:id="rId30"/>
      <w:headerReference w:type="first" r:id="rId31"/>
      <w:footerReference w:type="first" r:id="rId32"/>
      <w:pgSz w:w="11909" w:h="16834" w:code="9"/>
      <w:pgMar w:top="1138" w:right="1411" w:bottom="1138" w:left="1411" w:header="734" w:footer="734"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8B60E" w14:textId="77777777" w:rsidR="0014306E" w:rsidRDefault="0014306E">
      <w:r>
        <w:separator/>
      </w:r>
    </w:p>
  </w:endnote>
  <w:endnote w:type="continuationSeparator" w:id="0">
    <w:p w14:paraId="45593A85" w14:textId="77777777" w:rsidR="0014306E" w:rsidRDefault="0014306E">
      <w:r>
        <w:continuationSeparator/>
      </w:r>
    </w:p>
  </w:endnote>
  <w:endnote w:type="continuationNotice" w:id="1">
    <w:p w14:paraId="6A7DF9DE" w14:textId="77777777" w:rsidR="0014306E" w:rsidRDefault="001430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D7954" w14:textId="77777777" w:rsidR="001550F0" w:rsidRDefault="001550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BA4E" w14:textId="35221FE4" w:rsidR="001550F0" w:rsidRDefault="001550F0">
    <w:pPr>
      <w:pStyle w:val="Footer"/>
      <w:rPr>
        <w:rFonts w:cs="Times New Roman"/>
      </w:rPr>
    </w:pPr>
    <w:r>
      <w:fldChar w:fldCharType="begin"/>
    </w:r>
    <w:r>
      <w:instrText xml:space="preserve"> PAGE  \* Arabic  \* MERGEFORMAT </w:instrText>
    </w:r>
    <w:r>
      <w:fldChar w:fldCharType="separate"/>
    </w:r>
    <w:r>
      <w:rPr>
        <w:noProof/>
      </w:rPr>
      <w:t>33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9B3B4" w14:textId="77777777" w:rsidR="001550F0" w:rsidRDefault="001550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42854" w14:textId="77777777" w:rsidR="0014306E" w:rsidRDefault="0014306E">
      <w:r>
        <w:separator/>
      </w:r>
    </w:p>
  </w:footnote>
  <w:footnote w:type="continuationSeparator" w:id="0">
    <w:p w14:paraId="741175DA" w14:textId="77777777" w:rsidR="0014306E" w:rsidRDefault="0014306E">
      <w:r>
        <w:continuationSeparator/>
      </w:r>
    </w:p>
  </w:footnote>
  <w:footnote w:type="continuationNotice" w:id="1">
    <w:p w14:paraId="13059884" w14:textId="77777777" w:rsidR="0014306E" w:rsidRDefault="001430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25283" w14:textId="77777777" w:rsidR="001550F0" w:rsidRDefault="001550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BCF3" w14:textId="77777777" w:rsidR="001550F0" w:rsidRDefault="001550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523B8" w14:textId="77777777" w:rsidR="001550F0" w:rsidRDefault="001550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AEE5AF6"/>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FFFFFF7C"/>
    <w:multiLevelType w:val="singleLevel"/>
    <w:tmpl w:val="A41681EA"/>
    <w:lvl w:ilvl="0">
      <w:start w:val="1"/>
      <w:numFmt w:val="decimal"/>
      <w:pStyle w:val="ListNumber2"/>
      <w:lvlText w:val="%1."/>
      <w:lvlJc w:val="left"/>
      <w:pPr>
        <w:tabs>
          <w:tab w:val="num" w:pos="1800"/>
        </w:tabs>
        <w:ind w:left="1800" w:hanging="360"/>
      </w:pPr>
    </w:lvl>
  </w:abstractNum>
  <w:abstractNum w:abstractNumId="2" w15:restartNumberingAfterBreak="0">
    <w:nsid w:val="FFFFFF7D"/>
    <w:multiLevelType w:val="singleLevel"/>
    <w:tmpl w:val="EBD626EC"/>
    <w:lvl w:ilvl="0">
      <w:start w:val="1"/>
      <w:numFmt w:val="decimal"/>
      <w:pStyle w:val="ListNumber"/>
      <w:lvlText w:val="%1."/>
      <w:lvlJc w:val="left"/>
      <w:pPr>
        <w:tabs>
          <w:tab w:val="num" w:pos="1440"/>
        </w:tabs>
        <w:ind w:left="1440" w:hanging="360"/>
      </w:pPr>
    </w:lvl>
  </w:abstractNum>
  <w:abstractNum w:abstractNumId="3" w15:restartNumberingAfterBreak="0">
    <w:nsid w:val="FFFFFF7E"/>
    <w:multiLevelType w:val="singleLevel"/>
    <w:tmpl w:val="5666EE9E"/>
    <w:lvl w:ilvl="0">
      <w:start w:val="1"/>
      <w:numFmt w:val="decimal"/>
      <w:pStyle w:val="ListBullet5"/>
      <w:lvlText w:val="%1."/>
      <w:lvlJc w:val="left"/>
      <w:pPr>
        <w:tabs>
          <w:tab w:val="num" w:pos="1080"/>
        </w:tabs>
        <w:ind w:left="1080" w:hanging="360"/>
      </w:pPr>
    </w:lvl>
  </w:abstractNum>
  <w:abstractNum w:abstractNumId="4" w15:restartNumberingAfterBreak="0">
    <w:nsid w:val="FFFFFF7F"/>
    <w:multiLevelType w:val="singleLevel"/>
    <w:tmpl w:val="1D105C24"/>
    <w:lvl w:ilvl="0">
      <w:start w:val="1"/>
      <w:numFmt w:val="decimal"/>
      <w:pStyle w:val="ListBullet4"/>
      <w:lvlText w:val="%1."/>
      <w:lvlJc w:val="left"/>
      <w:pPr>
        <w:tabs>
          <w:tab w:val="num" w:pos="720"/>
        </w:tabs>
        <w:ind w:left="720" w:hanging="360"/>
      </w:pPr>
    </w:lvl>
  </w:abstractNum>
  <w:abstractNum w:abstractNumId="5" w15:restartNumberingAfterBreak="0">
    <w:nsid w:val="FFFFFF80"/>
    <w:multiLevelType w:val="singleLevel"/>
    <w:tmpl w:val="F3D86608"/>
    <w:lvl w:ilvl="0">
      <w:start w:val="1"/>
      <w:numFmt w:val="bullet"/>
      <w:pStyle w:val="Bullet2"/>
      <w:lvlText w:val=""/>
      <w:lvlJc w:val="left"/>
      <w:pPr>
        <w:tabs>
          <w:tab w:val="num" w:pos="1800"/>
        </w:tabs>
        <w:ind w:left="1800" w:hanging="360"/>
      </w:pPr>
      <w:rPr>
        <w:rFonts w:ascii="Symbol" w:hAnsi="Symbol" w:cs="Symbol" w:hint="default"/>
      </w:rPr>
    </w:lvl>
  </w:abstractNum>
  <w:abstractNum w:abstractNumId="6" w15:restartNumberingAfterBreak="0">
    <w:nsid w:val="FFFFFF81"/>
    <w:multiLevelType w:val="singleLevel"/>
    <w:tmpl w:val="FC6C6DF6"/>
    <w:lvl w:ilvl="0">
      <w:start w:val="1"/>
      <w:numFmt w:val="bullet"/>
      <w:pStyle w:val="ListBullet"/>
      <w:lvlText w:val=""/>
      <w:lvlJc w:val="left"/>
      <w:pPr>
        <w:tabs>
          <w:tab w:val="num" w:pos="1440"/>
        </w:tabs>
        <w:ind w:left="1440" w:hanging="360"/>
      </w:pPr>
      <w:rPr>
        <w:rFonts w:ascii="Symbol" w:hAnsi="Symbol" w:cs="Symbol" w:hint="default"/>
      </w:rPr>
    </w:lvl>
  </w:abstractNum>
  <w:abstractNum w:abstractNumId="7" w15:restartNumberingAfterBreak="0">
    <w:nsid w:val="FFFFFF82"/>
    <w:multiLevelType w:val="singleLevel"/>
    <w:tmpl w:val="73723BDE"/>
    <w:lvl w:ilvl="0">
      <w:start w:val="1"/>
      <w:numFmt w:val="bullet"/>
      <w:pStyle w:val="Bullet-"/>
      <w:lvlText w:val=""/>
      <w:lvlJc w:val="left"/>
      <w:pPr>
        <w:tabs>
          <w:tab w:val="num" w:pos="1080"/>
        </w:tabs>
        <w:ind w:left="1080" w:hanging="360"/>
      </w:pPr>
      <w:rPr>
        <w:rFonts w:ascii="Symbol" w:hAnsi="Symbol" w:cs="Symbol" w:hint="default"/>
      </w:rPr>
    </w:lvl>
  </w:abstractNum>
  <w:abstractNum w:abstractNumId="8" w15:restartNumberingAfterBreak="0">
    <w:nsid w:val="FFFFFF83"/>
    <w:multiLevelType w:val="singleLevel"/>
    <w:tmpl w:val="75444BCE"/>
    <w:lvl w:ilvl="0">
      <w:start w:val="1"/>
      <w:numFmt w:val="bullet"/>
      <w:pStyle w:val="Bullet"/>
      <w:lvlText w:val=""/>
      <w:lvlJc w:val="left"/>
      <w:pPr>
        <w:tabs>
          <w:tab w:val="num" w:pos="720"/>
        </w:tabs>
        <w:ind w:left="720" w:hanging="360"/>
      </w:pPr>
      <w:rPr>
        <w:rFonts w:ascii="Symbol" w:hAnsi="Symbol" w:cs="Symbol" w:hint="default"/>
      </w:rPr>
    </w:lvl>
  </w:abstractNum>
  <w:abstractNum w:abstractNumId="9" w15:restartNumberingAfterBreak="0">
    <w:nsid w:val="FFFFFF88"/>
    <w:multiLevelType w:val="singleLevel"/>
    <w:tmpl w:val="B4C0AF36"/>
    <w:lvl w:ilvl="0">
      <w:start w:val="1"/>
      <w:numFmt w:val="decimal"/>
      <w:pStyle w:val="ListBullet3"/>
      <w:lvlText w:val="%1."/>
      <w:lvlJc w:val="left"/>
      <w:pPr>
        <w:tabs>
          <w:tab w:val="num" w:pos="360"/>
        </w:tabs>
        <w:ind w:left="360" w:hanging="360"/>
      </w:pPr>
    </w:lvl>
  </w:abstractNum>
  <w:abstractNum w:abstractNumId="10" w15:restartNumberingAfterBreak="0">
    <w:nsid w:val="FFFFFF89"/>
    <w:multiLevelType w:val="singleLevel"/>
    <w:tmpl w:val="CCAA4166"/>
    <w:lvl w:ilvl="0">
      <w:start w:val="1"/>
      <w:numFmt w:val="bullet"/>
      <w:lvlText w:val=""/>
      <w:lvlJc w:val="left"/>
      <w:pPr>
        <w:tabs>
          <w:tab w:val="num" w:pos="360"/>
        </w:tabs>
        <w:ind w:left="360" w:hanging="360"/>
      </w:pPr>
      <w:rPr>
        <w:rFonts w:ascii="Symbol" w:hAnsi="Symbol" w:cs="Symbol" w:hint="default"/>
      </w:rPr>
    </w:lvl>
  </w:abstractNum>
  <w:abstractNum w:abstractNumId="11" w15:restartNumberingAfterBreak="0">
    <w:nsid w:val="0C787D2B"/>
    <w:multiLevelType w:val="hybridMultilevel"/>
    <w:tmpl w:val="39141C4C"/>
    <w:lvl w:ilvl="0" w:tplc="F1D8AA6C">
      <w:start w:val="1"/>
      <w:numFmt w:val="bullet"/>
      <w:pStyle w:val="Bullet-2"/>
      <w:lvlText w:val="–"/>
      <w:lvlJc w:val="left"/>
      <w:pPr>
        <w:ind w:left="1134" w:hanging="567"/>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0DB16C1A"/>
    <w:multiLevelType w:val="hybridMultilevel"/>
    <w:tmpl w:val="C332ECC0"/>
    <w:lvl w:ilvl="0" w:tplc="458A224C">
      <w:start w:val="1"/>
      <w:numFmt w:val="bullet"/>
      <w:lvlText w:val=""/>
      <w:lvlJc w:val="left"/>
      <w:pPr>
        <w:ind w:left="720" w:hanging="360"/>
      </w:pPr>
      <w:rPr>
        <w:rFonts w:ascii="Symbol" w:hAnsi="Symbol" w:cs="Symbol" w:hint="default"/>
      </w:rPr>
    </w:lvl>
    <w:lvl w:ilvl="1" w:tplc="298E9186">
      <w:start w:val="1"/>
      <w:numFmt w:val="bullet"/>
      <w:lvlText w:val="o"/>
      <w:lvlJc w:val="left"/>
      <w:pPr>
        <w:ind w:left="1440" w:hanging="360"/>
      </w:pPr>
      <w:rPr>
        <w:rFonts w:ascii="Courier New" w:hAnsi="Courier New" w:cs="Courier New" w:hint="default"/>
      </w:rPr>
    </w:lvl>
    <w:lvl w:ilvl="2" w:tplc="613A42C6">
      <w:start w:val="1"/>
      <w:numFmt w:val="bullet"/>
      <w:lvlText w:val=""/>
      <w:lvlJc w:val="left"/>
      <w:pPr>
        <w:ind w:left="2160" w:hanging="360"/>
      </w:pPr>
      <w:rPr>
        <w:rFonts w:ascii="Wingdings" w:hAnsi="Wingdings" w:cs="Wingdings" w:hint="default"/>
      </w:rPr>
    </w:lvl>
    <w:lvl w:ilvl="3" w:tplc="F252E786">
      <w:start w:val="1"/>
      <w:numFmt w:val="bullet"/>
      <w:lvlText w:val=""/>
      <w:lvlJc w:val="left"/>
      <w:pPr>
        <w:ind w:left="2880" w:hanging="360"/>
      </w:pPr>
      <w:rPr>
        <w:rFonts w:ascii="Symbol" w:hAnsi="Symbol" w:cs="Symbol" w:hint="default"/>
      </w:rPr>
    </w:lvl>
    <w:lvl w:ilvl="4" w:tplc="A0F20AEC">
      <w:start w:val="1"/>
      <w:numFmt w:val="bullet"/>
      <w:lvlText w:val="o"/>
      <w:lvlJc w:val="left"/>
      <w:pPr>
        <w:ind w:left="3600" w:hanging="360"/>
      </w:pPr>
      <w:rPr>
        <w:rFonts w:ascii="Courier New" w:hAnsi="Courier New" w:cs="Courier New" w:hint="default"/>
      </w:rPr>
    </w:lvl>
    <w:lvl w:ilvl="5" w:tplc="3D2AC640">
      <w:start w:val="1"/>
      <w:numFmt w:val="bullet"/>
      <w:lvlText w:val=""/>
      <w:lvlJc w:val="left"/>
      <w:pPr>
        <w:ind w:left="4320" w:hanging="360"/>
      </w:pPr>
      <w:rPr>
        <w:rFonts w:ascii="Wingdings" w:hAnsi="Wingdings" w:cs="Wingdings" w:hint="default"/>
      </w:rPr>
    </w:lvl>
    <w:lvl w:ilvl="6" w:tplc="3826799C">
      <w:start w:val="1"/>
      <w:numFmt w:val="bullet"/>
      <w:lvlText w:val=""/>
      <w:lvlJc w:val="left"/>
      <w:pPr>
        <w:ind w:left="5040" w:hanging="360"/>
      </w:pPr>
      <w:rPr>
        <w:rFonts w:ascii="Symbol" w:hAnsi="Symbol" w:cs="Symbol" w:hint="default"/>
      </w:rPr>
    </w:lvl>
    <w:lvl w:ilvl="7" w:tplc="BCEAD0F0">
      <w:start w:val="1"/>
      <w:numFmt w:val="bullet"/>
      <w:lvlText w:val="o"/>
      <w:lvlJc w:val="left"/>
      <w:pPr>
        <w:ind w:left="5760" w:hanging="360"/>
      </w:pPr>
      <w:rPr>
        <w:rFonts w:ascii="Courier New" w:hAnsi="Courier New" w:cs="Courier New" w:hint="default"/>
      </w:rPr>
    </w:lvl>
    <w:lvl w:ilvl="8" w:tplc="FD72C5B4">
      <w:start w:val="1"/>
      <w:numFmt w:val="bullet"/>
      <w:lvlText w:val=""/>
      <w:lvlJc w:val="left"/>
      <w:pPr>
        <w:ind w:left="6480" w:hanging="360"/>
      </w:pPr>
      <w:rPr>
        <w:rFonts w:ascii="Wingdings" w:hAnsi="Wingdings" w:cs="Wingdings" w:hint="default"/>
      </w:rPr>
    </w:lvl>
  </w:abstractNum>
  <w:abstractNum w:abstractNumId="13" w15:restartNumberingAfterBreak="0">
    <w:nsid w:val="16DD5FEC"/>
    <w:multiLevelType w:val="hybridMultilevel"/>
    <w:tmpl w:val="532628B6"/>
    <w:lvl w:ilvl="0" w:tplc="08090003">
      <w:start w:val="1"/>
      <w:numFmt w:val="bullet"/>
      <w:lvlText w:val="o"/>
      <w:lvlJc w:val="left"/>
      <w:pPr>
        <w:ind w:left="1134" w:hanging="567"/>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1FBF1FD1"/>
    <w:multiLevelType w:val="multilevel"/>
    <w:tmpl w:val="9F9EF3C4"/>
    <w:lvl w:ilvl="0">
      <w:start w:val="1"/>
      <w:numFmt w:val="bullet"/>
      <w:lvlText w:val="•"/>
      <w:lvlJc w:val="left"/>
      <w:pPr>
        <w:ind w:left="562" w:hanging="562"/>
      </w:pPr>
      <w:rPr>
        <w:rFonts w:ascii="Times New Roman" w:eastAsia="SimSun" w:hAnsi="Times New Roman"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B1A3920"/>
    <w:multiLevelType w:val="hybridMultilevel"/>
    <w:tmpl w:val="54386C9E"/>
    <w:lvl w:ilvl="0" w:tplc="5DAADB12">
      <w:start w:val="1"/>
      <w:numFmt w:val="bullet"/>
      <w:lvlText w:val="•"/>
      <w:lvlJc w:val="left"/>
      <w:pPr>
        <w:ind w:left="1134" w:hanging="567"/>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15:restartNumberingAfterBreak="0">
    <w:nsid w:val="361C0327"/>
    <w:multiLevelType w:val="hybridMultilevel"/>
    <w:tmpl w:val="1EAC0D92"/>
    <w:lvl w:ilvl="0" w:tplc="9CFA9D14">
      <w:start w:val="1"/>
      <w:numFmt w:val="bullet"/>
      <w:pStyle w:val="ListNumber3"/>
      <w:lvlText w:val="●"/>
      <w:lvlJc w:val="left"/>
      <w:pPr>
        <w:ind w:left="720" w:hanging="360"/>
      </w:pPr>
      <w:rPr>
        <w:rFonts w:ascii="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15:restartNumberingAfterBreak="0">
    <w:nsid w:val="408448E4"/>
    <w:multiLevelType w:val="hybridMultilevel"/>
    <w:tmpl w:val="9F9EF3C4"/>
    <w:lvl w:ilvl="0" w:tplc="B1660F98">
      <w:start w:val="1"/>
      <w:numFmt w:val="bullet"/>
      <w:pStyle w:val="ListNumber4"/>
      <w:lvlText w:val="•"/>
      <w:lvlJc w:val="left"/>
      <w:pPr>
        <w:ind w:left="562" w:hanging="562"/>
      </w:pPr>
      <w:rPr>
        <w:rFonts w:ascii="Times New Roman" w:eastAsia="SimSun" w:hAnsi="Times New Roman"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15:restartNumberingAfterBreak="0">
    <w:nsid w:val="49BD21D5"/>
    <w:multiLevelType w:val="hybridMultilevel"/>
    <w:tmpl w:val="6E62413C"/>
    <w:lvl w:ilvl="0" w:tplc="F342D858">
      <w:start w:val="1"/>
      <w:numFmt w:val="bullet"/>
      <w:lvlText w:val="–"/>
      <w:lvlJc w:val="left"/>
      <w:pPr>
        <w:ind w:left="1134" w:hanging="567"/>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15:restartNumberingAfterBreak="0">
    <w:nsid w:val="59A566C4"/>
    <w:multiLevelType w:val="hybridMultilevel"/>
    <w:tmpl w:val="9E04ABE4"/>
    <w:lvl w:ilvl="0" w:tplc="D23AACB6">
      <w:start w:val="1"/>
      <w:numFmt w:val="bullet"/>
      <w:lvlText w:val="•"/>
      <w:lvlJc w:val="left"/>
      <w:pPr>
        <w:ind w:left="1134" w:hanging="567"/>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15:restartNumberingAfterBreak="0">
    <w:nsid w:val="61C17380"/>
    <w:multiLevelType w:val="hybridMultilevel"/>
    <w:tmpl w:val="B0FE710A"/>
    <w:lvl w:ilvl="0" w:tplc="08090003">
      <w:start w:val="1"/>
      <w:numFmt w:val="bullet"/>
      <w:lvlText w:val="o"/>
      <w:lvlJc w:val="left"/>
      <w:pPr>
        <w:ind w:left="1134" w:hanging="567"/>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15:restartNumberingAfterBreak="0">
    <w:nsid w:val="66272B9C"/>
    <w:multiLevelType w:val="hybridMultilevel"/>
    <w:tmpl w:val="7924C6F0"/>
    <w:lvl w:ilvl="0" w:tplc="08090003">
      <w:start w:val="1"/>
      <w:numFmt w:val="bullet"/>
      <w:lvlText w:val="o"/>
      <w:lvlJc w:val="left"/>
      <w:pPr>
        <w:ind w:left="1134" w:hanging="567"/>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15:restartNumberingAfterBreak="0">
    <w:nsid w:val="68E600F6"/>
    <w:multiLevelType w:val="hybridMultilevel"/>
    <w:tmpl w:val="33DCF656"/>
    <w:lvl w:ilvl="0" w:tplc="DF2C1A74">
      <w:start w:val="1"/>
      <w:numFmt w:val="bullet"/>
      <w:pStyle w:val="ListNumber5"/>
      <w:lvlText w:val="–"/>
      <w:lvlJc w:val="left"/>
      <w:pPr>
        <w:ind w:left="562" w:hanging="562"/>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16cid:durableId="337974865">
    <w:abstractNumId w:val="10"/>
  </w:num>
  <w:num w:numId="2" w16cid:durableId="1294795680">
    <w:abstractNumId w:val="8"/>
  </w:num>
  <w:num w:numId="3" w16cid:durableId="1363241455">
    <w:abstractNumId w:val="7"/>
  </w:num>
  <w:num w:numId="4" w16cid:durableId="32964852">
    <w:abstractNumId w:val="6"/>
  </w:num>
  <w:num w:numId="5" w16cid:durableId="814317">
    <w:abstractNumId w:val="5"/>
  </w:num>
  <w:num w:numId="6" w16cid:durableId="2032680187">
    <w:abstractNumId w:val="9"/>
  </w:num>
  <w:num w:numId="7" w16cid:durableId="2122797850">
    <w:abstractNumId w:val="4"/>
  </w:num>
  <w:num w:numId="8" w16cid:durableId="2054769684">
    <w:abstractNumId w:val="3"/>
  </w:num>
  <w:num w:numId="9" w16cid:durableId="1418601677">
    <w:abstractNumId w:val="2"/>
  </w:num>
  <w:num w:numId="10" w16cid:durableId="634726665">
    <w:abstractNumId w:val="1"/>
  </w:num>
  <w:num w:numId="11" w16cid:durableId="243761026">
    <w:abstractNumId w:val="10"/>
  </w:num>
  <w:num w:numId="12" w16cid:durableId="1599756674">
    <w:abstractNumId w:val="8"/>
  </w:num>
  <w:num w:numId="13" w16cid:durableId="1827356755">
    <w:abstractNumId w:val="7"/>
  </w:num>
  <w:num w:numId="14" w16cid:durableId="652833869">
    <w:abstractNumId w:val="6"/>
  </w:num>
  <w:num w:numId="15" w16cid:durableId="1202864657">
    <w:abstractNumId w:val="5"/>
  </w:num>
  <w:num w:numId="16" w16cid:durableId="43918861">
    <w:abstractNumId w:val="9"/>
  </w:num>
  <w:num w:numId="17" w16cid:durableId="942952910">
    <w:abstractNumId w:val="4"/>
  </w:num>
  <w:num w:numId="18" w16cid:durableId="490799566">
    <w:abstractNumId w:val="3"/>
  </w:num>
  <w:num w:numId="19" w16cid:durableId="844711751">
    <w:abstractNumId w:val="2"/>
  </w:num>
  <w:num w:numId="20" w16cid:durableId="1334532726">
    <w:abstractNumId w:val="1"/>
  </w:num>
  <w:num w:numId="21" w16cid:durableId="112329164">
    <w:abstractNumId w:val="16"/>
  </w:num>
  <w:num w:numId="22" w16cid:durableId="1583832241">
    <w:abstractNumId w:val="17"/>
  </w:num>
  <w:num w:numId="23" w16cid:durableId="86853299">
    <w:abstractNumId w:val="22"/>
  </w:num>
  <w:num w:numId="24" w16cid:durableId="1094403093">
    <w:abstractNumId w:val="10"/>
  </w:num>
  <w:num w:numId="25" w16cid:durableId="1812671005">
    <w:abstractNumId w:val="8"/>
  </w:num>
  <w:num w:numId="26" w16cid:durableId="214435870">
    <w:abstractNumId w:val="7"/>
  </w:num>
  <w:num w:numId="27" w16cid:durableId="1972782497">
    <w:abstractNumId w:val="6"/>
  </w:num>
  <w:num w:numId="28" w16cid:durableId="1721593857">
    <w:abstractNumId w:val="5"/>
  </w:num>
  <w:num w:numId="29" w16cid:durableId="173305747">
    <w:abstractNumId w:val="9"/>
  </w:num>
  <w:num w:numId="30" w16cid:durableId="20054943">
    <w:abstractNumId w:val="4"/>
  </w:num>
  <w:num w:numId="31" w16cid:durableId="404760753">
    <w:abstractNumId w:val="3"/>
  </w:num>
  <w:num w:numId="32" w16cid:durableId="1996954303">
    <w:abstractNumId w:val="2"/>
  </w:num>
  <w:num w:numId="33" w16cid:durableId="792938872">
    <w:abstractNumId w:val="1"/>
  </w:num>
  <w:num w:numId="34" w16cid:durableId="1449200939">
    <w:abstractNumId w:val="22"/>
    <w:lvlOverride w:ilvl="0">
      <w:startOverride w:val="1"/>
    </w:lvlOverride>
  </w:num>
  <w:num w:numId="35" w16cid:durableId="836924255">
    <w:abstractNumId w:val="17"/>
    <w:lvlOverride w:ilvl="0">
      <w:startOverride w:val="1"/>
    </w:lvlOverride>
  </w:num>
  <w:num w:numId="36" w16cid:durableId="139807358">
    <w:abstractNumId w:val="19"/>
  </w:num>
  <w:num w:numId="37" w16cid:durableId="26764048">
    <w:abstractNumId w:val="18"/>
  </w:num>
  <w:num w:numId="38" w16cid:durableId="2094158603">
    <w:abstractNumId w:val="15"/>
  </w:num>
  <w:num w:numId="39" w16cid:durableId="1781992530">
    <w:abstractNumId w:val="15"/>
    <w:lvlOverride w:ilvl="0">
      <w:startOverride w:val="1"/>
    </w:lvlOverride>
  </w:num>
  <w:num w:numId="40" w16cid:durableId="51395786">
    <w:abstractNumId w:val="11"/>
  </w:num>
  <w:num w:numId="41" w16cid:durableId="614488255">
    <w:abstractNumId w:val="0"/>
  </w:num>
  <w:num w:numId="42" w16cid:durableId="1046299166">
    <w:abstractNumId w:val="20"/>
  </w:num>
  <w:num w:numId="43" w16cid:durableId="1196769272">
    <w:abstractNumId w:val="21"/>
  </w:num>
  <w:num w:numId="44" w16cid:durableId="690373120">
    <w:abstractNumId w:val="13"/>
  </w:num>
  <w:num w:numId="45" w16cid:durableId="513803595">
    <w:abstractNumId w:val="12"/>
  </w:num>
  <w:num w:numId="46" w16cid:durableId="1026991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defaultTabStop w:val="562"/>
  <w:hyphenationZone w:val="425"/>
  <w:doNotHyphenateCaps/>
  <w:characterSpacingControl w:val="doNotCompress"/>
  <w:doNotValidateAgainstSchema/>
  <w:doNotDemarcateInvalidXml/>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Tags" w:val="no"/>
  </w:docVars>
  <w:rsids>
    <w:rsidRoot w:val="00746672"/>
    <w:rsid w:val="00003818"/>
    <w:rsid w:val="00014450"/>
    <w:rsid w:val="000161F5"/>
    <w:rsid w:val="000258EE"/>
    <w:rsid w:val="00025C22"/>
    <w:rsid w:val="00030C80"/>
    <w:rsid w:val="000454CA"/>
    <w:rsid w:val="00051368"/>
    <w:rsid w:val="00063498"/>
    <w:rsid w:val="000715F3"/>
    <w:rsid w:val="00071F41"/>
    <w:rsid w:val="000775C4"/>
    <w:rsid w:val="00077D76"/>
    <w:rsid w:val="0008127E"/>
    <w:rsid w:val="000A0553"/>
    <w:rsid w:val="000A1849"/>
    <w:rsid w:val="000A6205"/>
    <w:rsid w:val="000A6A24"/>
    <w:rsid w:val="000B23AC"/>
    <w:rsid w:val="000B48E7"/>
    <w:rsid w:val="000B6425"/>
    <w:rsid w:val="000C34F4"/>
    <w:rsid w:val="000E1AD4"/>
    <w:rsid w:val="00103CFF"/>
    <w:rsid w:val="00106AA6"/>
    <w:rsid w:val="00122630"/>
    <w:rsid w:val="00124D02"/>
    <w:rsid w:val="00136C82"/>
    <w:rsid w:val="0014306E"/>
    <w:rsid w:val="0014522A"/>
    <w:rsid w:val="00145BE0"/>
    <w:rsid w:val="001550F0"/>
    <w:rsid w:val="00156D40"/>
    <w:rsid w:val="00160824"/>
    <w:rsid w:val="00166CF3"/>
    <w:rsid w:val="001853F6"/>
    <w:rsid w:val="001A44D3"/>
    <w:rsid w:val="001B40A6"/>
    <w:rsid w:val="001B58E2"/>
    <w:rsid w:val="001E0AAA"/>
    <w:rsid w:val="001E5CCA"/>
    <w:rsid w:val="001F0C55"/>
    <w:rsid w:val="001F2DE9"/>
    <w:rsid w:val="00200B46"/>
    <w:rsid w:val="00211AF9"/>
    <w:rsid w:val="002167CD"/>
    <w:rsid w:val="00221AD7"/>
    <w:rsid w:val="0022428B"/>
    <w:rsid w:val="00275459"/>
    <w:rsid w:val="00284A57"/>
    <w:rsid w:val="00293CB5"/>
    <w:rsid w:val="002A62FD"/>
    <w:rsid w:val="002B4720"/>
    <w:rsid w:val="002B6A67"/>
    <w:rsid w:val="002C3071"/>
    <w:rsid w:val="002E0E1C"/>
    <w:rsid w:val="002E1E72"/>
    <w:rsid w:val="002E4EF8"/>
    <w:rsid w:val="002E5234"/>
    <w:rsid w:val="00300219"/>
    <w:rsid w:val="00302BB0"/>
    <w:rsid w:val="0030381F"/>
    <w:rsid w:val="0031112D"/>
    <w:rsid w:val="00311AE6"/>
    <w:rsid w:val="00317E54"/>
    <w:rsid w:val="00325C6C"/>
    <w:rsid w:val="003368C1"/>
    <w:rsid w:val="00357A28"/>
    <w:rsid w:val="003609FB"/>
    <w:rsid w:val="003907EA"/>
    <w:rsid w:val="003A0C33"/>
    <w:rsid w:val="003A167B"/>
    <w:rsid w:val="003A42B0"/>
    <w:rsid w:val="003B5ED5"/>
    <w:rsid w:val="003B736F"/>
    <w:rsid w:val="003C61C8"/>
    <w:rsid w:val="003F12F0"/>
    <w:rsid w:val="003F23AA"/>
    <w:rsid w:val="00403693"/>
    <w:rsid w:val="00427255"/>
    <w:rsid w:val="00427A9D"/>
    <w:rsid w:val="0043086E"/>
    <w:rsid w:val="004433C2"/>
    <w:rsid w:val="0047075D"/>
    <w:rsid w:val="00483458"/>
    <w:rsid w:val="0048790C"/>
    <w:rsid w:val="004B519F"/>
    <w:rsid w:val="004C0945"/>
    <w:rsid w:val="004C535F"/>
    <w:rsid w:val="004C67B6"/>
    <w:rsid w:val="004D3718"/>
    <w:rsid w:val="005051EC"/>
    <w:rsid w:val="005275A2"/>
    <w:rsid w:val="00532772"/>
    <w:rsid w:val="005448B6"/>
    <w:rsid w:val="00557344"/>
    <w:rsid w:val="00562A5D"/>
    <w:rsid w:val="00575B1A"/>
    <w:rsid w:val="005B454A"/>
    <w:rsid w:val="005C582C"/>
    <w:rsid w:val="005D170B"/>
    <w:rsid w:val="005D3CF2"/>
    <w:rsid w:val="005D7677"/>
    <w:rsid w:val="005F5569"/>
    <w:rsid w:val="00616D7C"/>
    <w:rsid w:val="006330F0"/>
    <w:rsid w:val="006407ED"/>
    <w:rsid w:val="00646696"/>
    <w:rsid w:val="0065097B"/>
    <w:rsid w:val="00650C93"/>
    <w:rsid w:val="0066616A"/>
    <w:rsid w:val="00674972"/>
    <w:rsid w:val="00692171"/>
    <w:rsid w:val="00695653"/>
    <w:rsid w:val="006A20D0"/>
    <w:rsid w:val="006A74CA"/>
    <w:rsid w:val="006D0014"/>
    <w:rsid w:val="006D0E56"/>
    <w:rsid w:val="006D4BAB"/>
    <w:rsid w:val="006D7B41"/>
    <w:rsid w:val="00707D55"/>
    <w:rsid w:val="007315C5"/>
    <w:rsid w:val="007327E2"/>
    <w:rsid w:val="0073281C"/>
    <w:rsid w:val="007420E6"/>
    <w:rsid w:val="007450D0"/>
    <w:rsid w:val="00746672"/>
    <w:rsid w:val="00753BE3"/>
    <w:rsid w:val="00755C3D"/>
    <w:rsid w:val="00757BBE"/>
    <w:rsid w:val="007625E5"/>
    <w:rsid w:val="00774B06"/>
    <w:rsid w:val="00790A27"/>
    <w:rsid w:val="00792658"/>
    <w:rsid w:val="0079404B"/>
    <w:rsid w:val="00794102"/>
    <w:rsid w:val="007967C1"/>
    <w:rsid w:val="007A1ECC"/>
    <w:rsid w:val="007B4F4E"/>
    <w:rsid w:val="007C663C"/>
    <w:rsid w:val="007D1D2E"/>
    <w:rsid w:val="007E5512"/>
    <w:rsid w:val="007E7DAE"/>
    <w:rsid w:val="007F26A3"/>
    <w:rsid w:val="00825393"/>
    <w:rsid w:val="00840D60"/>
    <w:rsid w:val="00850BB2"/>
    <w:rsid w:val="008663F5"/>
    <w:rsid w:val="00866D99"/>
    <w:rsid w:val="0088579B"/>
    <w:rsid w:val="00891500"/>
    <w:rsid w:val="00896998"/>
    <w:rsid w:val="0089731C"/>
    <w:rsid w:val="008A6450"/>
    <w:rsid w:val="008B3CEC"/>
    <w:rsid w:val="008B4DC1"/>
    <w:rsid w:val="008B7EEF"/>
    <w:rsid w:val="008C209B"/>
    <w:rsid w:val="008D4495"/>
    <w:rsid w:val="008D5385"/>
    <w:rsid w:val="008E2435"/>
    <w:rsid w:val="008E6090"/>
    <w:rsid w:val="008F2460"/>
    <w:rsid w:val="009039BA"/>
    <w:rsid w:val="00905A23"/>
    <w:rsid w:val="00915112"/>
    <w:rsid w:val="009208DC"/>
    <w:rsid w:val="00930D07"/>
    <w:rsid w:val="009350A9"/>
    <w:rsid w:val="00945465"/>
    <w:rsid w:val="00946963"/>
    <w:rsid w:val="00947F48"/>
    <w:rsid w:val="009655DE"/>
    <w:rsid w:val="009747E1"/>
    <w:rsid w:val="00986532"/>
    <w:rsid w:val="0098719B"/>
    <w:rsid w:val="009A4201"/>
    <w:rsid w:val="009A4FD9"/>
    <w:rsid w:val="009B190F"/>
    <w:rsid w:val="009B19B5"/>
    <w:rsid w:val="009B1CE1"/>
    <w:rsid w:val="009C2F59"/>
    <w:rsid w:val="009D54A0"/>
    <w:rsid w:val="009E4B2F"/>
    <w:rsid w:val="009F5385"/>
    <w:rsid w:val="009F7950"/>
    <w:rsid w:val="00A003A9"/>
    <w:rsid w:val="00A11152"/>
    <w:rsid w:val="00A24DCB"/>
    <w:rsid w:val="00A36618"/>
    <w:rsid w:val="00A47FF3"/>
    <w:rsid w:val="00A5432A"/>
    <w:rsid w:val="00A56F0C"/>
    <w:rsid w:val="00A70771"/>
    <w:rsid w:val="00A94B01"/>
    <w:rsid w:val="00A96F0E"/>
    <w:rsid w:val="00AA3F7E"/>
    <w:rsid w:val="00AB0763"/>
    <w:rsid w:val="00AB3B2C"/>
    <w:rsid w:val="00AB4809"/>
    <w:rsid w:val="00AC120C"/>
    <w:rsid w:val="00AC4409"/>
    <w:rsid w:val="00AC4AE3"/>
    <w:rsid w:val="00AC53B7"/>
    <w:rsid w:val="00AD0F7A"/>
    <w:rsid w:val="00AD21CD"/>
    <w:rsid w:val="00AE6D7C"/>
    <w:rsid w:val="00AF6902"/>
    <w:rsid w:val="00B01AD8"/>
    <w:rsid w:val="00B24CDA"/>
    <w:rsid w:val="00B26538"/>
    <w:rsid w:val="00B30DE2"/>
    <w:rsid w:val="00B348AC"/>
    <w:rsid w:val="00B54913"/>
    <w:rsid w:val="00B550CB"/>
    <w:rsid w:val="00B71B91"/>
    <w:rsid w:val="00B7272A"/>
    <w:rsid w:val="00B72A67"/>
    <w:rsid w:val="00B75C81"/>
    <w:rsid w:val="00B76565"/>
    <w:rsid w:val="00B96C8C"/>
    <w:rsid w:val="00B970FB"/>
    <w:rsid w:val="00BB2C2A"/>
    <w:rsid w:val="00BC00DE"/>
    <w:rsid w:val="00BD301D"/>
    <w:rsid w:val="00BE5CF1"/>
    <w:rsid w:val="00BE76B6"/>
    <w:rsid w:val="00BF1B46"/>
    <w:rsid w:val="00BF1FA1"/>
    <w:rsid w:val="00BF2319"/>
    <w:rsid w:val="00BF3586"/>
    <w:rsid w:val="00BF4E40"/>
    <w:rsid w:val="00C11A86"/>
    <w:rsid w:val="00C151F3"/>
    <w:rsid w:val="00C3037D"/>
    <w:rsid w:val="00C37E03"/>
    <w:rsid w:val="00C54031"/>
    <w:rsid w:val="00C70497"/>
    <w:rsid w:val="00C75953"/>
    <w:rsid w:val="00C75D7B"/>
    <w:rsid w:val="00C80F0D"/>
    <w:rsid w:val="00C82CAD"/>
    <w:rsid w:val="00C87F0C"/>
    <w:rsid w:val="00C94918"/>
    <w:rsid w:val="00CA01E4"/>
    <w:rsid w:val="00CB06CB"/>
    <w:rsid w:val="00CC1F81"/>
    <w:rsid w:val="00CC464F"/>
    <w:rsid w:val="00CD1DB3"/>
    <w:rsid w:val="00CE34CE"/>
    <w:rsid w:val="00CF40C9"/>
    <w:rsid w:val="00D00E92"/>
    <w:rsid w:val="00D05ECA"/>
    <w:rsid w:val="00D07BFA"/>
    <w:rsid w:val="00D16026"/>
    <w:rsid w:val="00D21025"/>
    <w:rsid w:val="00D25AFA"/>
    <w:rsid w:val="00D27BB3"/>
    <w:rsid w:val="00D3540A"/>
    <w:rsid w:val="00D478CA"/>
    <w:rsid w:val="00D51B02"/>
    <w:rsid w:val="00D53C67"/>
    <w:rsid w:val="00D5463D"/>
    <w:rsid w:val="00D568C7"/>
    <w:rsid w:val="00D602D2"/>
    <w:rsid w:val="00D72285"/>
    <w:rsid w:val="00D73B55"/>
    <w:rsid w:val="00D73CCB"/>
    <w:rsid w:val="00D93C93"/>
    <w:rsid w:val="00DA7BDB"/>
    <w:rsid w:val="00DB1420"/>
    <w:rsid w:val="00DB5A17"/>
    <w:rsid w:val="00DC2C6B"/>
    <w:rsid w:val="00DC3031"/>
    <w:rsid w:val="00DC7BB4"/>
    <w:rsid w:val="00DD64AB"/>
    <w:rsid w:val="00DD7A34"/>
    <w:rsid w:val="00DE0615"/>
    <w:rsid w:val="00DE3B6E"/>
    <w:rsid w:val="00DE6906"/>
    <w:rsid w:val="00DF5808"/>
    <w:rsid w:val="00DF5DB6"/>
    <w:rsid w:val="00DF6B4D"/>
    <w:rsid w:val="00E1093A"/>
    <w:rsid w:val="00E25405"/>
    <w:rsid w:val="00E27C16"/>
    <w:rsid w:val="00E33932"/>
    <w:rsid w:val="00E365FA"/>
    <w:rsid w:val="00E53E62"/>
    <w:rsid w:val="00E61860"/>
    <w:rsid w:val="00E61964"/>
    <w:rsid w:val="00E65CFF"/>
    <w:rsid w:val="00E6732D"/>
    <w:rsid w:val="00E700F0"/>
    <w:rsid w:val="00E72131"/>
    <w:rsid w:val="00E75348"/>
    <w:rsid w:val="00E85209"/>
    <w:rsid w:val="00E915A1"/>
    <w:rsid w:val="00E94769"/>
    <w:rsid w:val="00E977A8"/>
    <w:rsid w:val="00EA056D"/>
    <w:rsid w:val="00EA6569"/>
    <w:rsid w:val="00EC5413"/>
    <w:rsid w:val="00ED3B0C"/>
    <w:rsid w:val="00ED7127"/>
    <w:rsid w:val="00EE3920"/>
    <w:rsid w:val="00EE5ABB"/>
    <w:rsid w:val="00EE6F7E"/>
    <w:rsid w:val="00EF0E6D"/>
    <w:rsid w:val="00EF696C"/>
    <w:rsid w:val="00EF7716"/>
    <w:rsid w:val="00F03C87"/>
    <w:rsid w:val="00F325B3"/>
    <w:rsid w:val="00F33197"/>
    <w:rsid w:val="00F44218"/>
    <w:rsid w:val="00F51A43"/>
    <w:rsid w:val="00F528D3"/>
    <w:rsid w:val="00F5603F"/>
    <w:rsid w:val="00F64C6D"/>
    <w:rsid w:val="00F66433"/>
    <w:rsid w:val="00F8570D"/>
    <w:rsid w:val="00F8709E"/>
    <w:rsid w:val="00FA68CF"/>
    <w:rsid w:val="00FC7803"/>
    <w:rsid w:val="00FE05FA"/>
    <w:rsid w:val="00FE319B"/>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F4B530"/>
  <w15:docId w15:val="{DDECA416-613C-4461-84AF-3C5E47F86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808"/>
    <w:pPr>
      <w:suppressAutoHyphens/>
    </w:pPr>
    <w:rPr>
      <w:rFonts w:ascii="Times New Roman" w:hAnsi="Times New Roman"/>
      <w:noProof/>
      <w:lang w:eastAsia="zh-CN"/>
    </w:rPr>
  </w:style>
  <w:style w:type="paragraph" w:styleId="Heading1">
    <w:name w:val="heading 1"/>
    <w:basedOn w:val="Normal"/>
    <w:next w:val="NormalKeep"/>
    <w:link w:val="Heading1Char"/>
    <w:uiPriority w:val="99"/>
    <w:qFormat/>
    <w:rsid w:val="00DF5808"/>
    <w:pPr>
      <w:keepNext/>
      <w:keepLines/>
      <w:ind w:left="561" w:hanging="561"/>
      <w:outlineLvl w:val="0"/>
    </w:pPr>
    <w:rPr>
      <w:b/>
      <w:bCs/>
    </w:rPr>
  </w:style>
  <w:style w:type="paragraph" w:styleId="Heading2">
    <w:name w:val="heading 2"/>
    <w:basedOn w:val="Normal"/>
    <w:next w:val="NormalKeep"/>
    <w:link w:val="Heading2Char"/>
    <w:uiPriority w:val="99"/>
    <w:qFormat/>
    <w:rsid w:val="00DF5808"/>
    <w:pPr>
      <w:keepNext/>
      <w:keepLines/>
      <w:ind w:left="562" w:hanging="562"/>
      <w:outlineLvl w:val="1"/>
    </w:pPr>
    <w:rPr>
      <w:b/>
      <w:bCs/>
    </w:rPr>
  </w:style>
  <w:style w:type="paragraph" w:styleId="Heading3">
    <w:name w:val="heading 3"/>
    <w:basedOn w:val="Normal"/>
    <w:next w:val="Normal"/>
    <w:link w:val="Heading3Char"/>
    <w:uiPriority w:val="99"/>
    <w:qFormat/>
    <w:rsid w:val="00DF5808"/>
    <w:pPr>
      <w:keepNext/>
      <w:spacing w:before="240" w:after="60"/>
      <w:outlineLvl w:val="2"/>
    </w:pPr>
    <w:rPr>
      <w:rFonts w:ascii="Calibri Light" w:eastAsia="DengXian Light" w:hAnsi="Calibri Light" w:cs="Calibri Light"/>
      <w:b/>
      <w:bCs/>
      <w:sz w:val="26"/>
      <w:szCs w:val="26"/>
    </w:rPr>
  </w:style>
  <w:style w:type="paragraph" w:styleId="Heading4">
    <w:name w:val="heading 4"/>
    <w:basedOn w:val="Normal"/>
    <w:next w:val="Normal"/>
    <w:link w:val="Heading4Char"/>
    <w:uiPriority w:val="99"/>
    <w:qFormat/>
    <w:rsid w:val="00DF5808"/>
    <w:pPr>
      <w:keepNext/>
      <w:spacing w:before="240" w:after="60"/>
      <w:outlineLvl w:val="3"/>
    </w:pPr>
    <w:rPr>
      <w:rFonts w:ascii="Calibri" w:eastAsia="DengXian" w:hAnsi="Calibri" w:cs="Calibri"/>
      <w:b/>
      <w:bCs/>
      <w:sz w:val="28"/>
      <w:szCs w:val="28"/>
    </w:rPr>
  </w:style>
  <w:style w:type="paragraph" w:styleId="Heading5">
    <w:name w:val="heading 5"/>
    <w:basedOn w:val="Normal"/>
    <w:next w:val="Normal"/>
    <w:link w:val="Heading5Char"/>
    <w:uiPriority w:val="99"/>
    <w:qFormat/>
    <w:rsid w:val="00DF5808"/>
    <w:pPr>
      <w:spacing w:before="240" w:after="60"/>
      <w:outlineLvl w:val="4"/>
    </w:pPr>
    <w:rPr>
      <w:rFonts w:ascii="Calibri" w:eastAsia="DengXian" w:hAnsi="Calibri" w:cs="Calibri"/>
      <w:b/>
      <w:bCs/>
      <w:i/>
      <w:iCs/>
      <w:sz w:val="26"/>
      <w:szCs w:val="26"/>
    </w:rPr>
  </w:style>
  <w:style w:type="paragraph" w:styleId="Heading6">
    <w:name w:val="heading 6"/>
    <w:basedOn w:val="Normal"/>
    <w:next w:val="Normal"/>
    <w:link w:val="Heading6Char"/>
    <w:uiPriority w:val="99"/>
    <w:qFormat/>
    <w:rsid w:val="00DF5808"/>
    <w:pPr>
      <w:spacing w:before="240" w:after="60"/>
      <w:outlineLvl w:val="5"/>
    </w:pPr>
    <w:rPr>
      <w:rFonts w:ascii="Calibri" w:eastAsia="DengXian" w:hAnsi="Calibri" w:cs="Calibri"/>
      <w:b/>
      <w:bCs/>
    </w:rPr>
  </w:style>
  <w:style w:type="paragraph" w:styleId="Heading7">
    <w:name w:val="heading 7"/>
    <w:basedOn w:val="Normal"/>
    <w:next w:val="Normal"/>
    <w:link w:val="Heading7Char"/>
    <w:uiPriority w:val="99"/>
    <w:qFormat/>
    <w:rsid w:val="00DF5808"/>
    <w:pPr>
      <w:spacing w:before="240" w:after="60"/>
      <w:outlineLvl w:val="6"/>
    </w:pPr>
    <w:rPr>
      <w:rFonts w:ascii="Calibri" w:eastAsia="DengXian" w:hAnsi="Calibri" w:cs="Calibri"/>
      <w:sz w:val="24"/>
      <w:szCs w:val="24"/>
    </w:rPr>
  </w:style>
  <w:style w:type="paragraph" w:styleId="Heading8">
    <w:name w:val="heading 8"/>
    <w:basedOn w:val="Normal"/>
    <w:next w:val="Normal"/>
    <w:link w:val="Heading8Char"/>
    <w:uiPriority w:val="99"/>
    <w:qFormat/>
    <w:rsid w:val="00DF5808"/>
    <w:pPr>
      <w:spacing w:before="240" w:after="60"/>
      <w:outlineLvl w:val="7"/>
    </w:pPr>
    <w:rPr>
      <w:rFonts w:ascii="Calibri" w:eastAsia="DengXian" w:hAnsi="Calibri" w:cs="Calibri"/>
      <w:i/>
      <w:iCs/>
      <w:sz w:val="24"/>
      <w:szCs w:val="24"/>
    </w:rPr>
  </w:style>
  <w:style w:type="paragraph" w:styleId="Heading9">
    <w:name w:val="heading 9"/>
    <w:basedOn w:val="Normal"/>
    <w:next w:val="Normal"/>
    <w:link w:val="Heading9Char"/>
    <w:uiPriority w:val="99"/>
    <w:qFormat/>
    <w:rsid w:val="00DF5808"/>
    <w:pPr>
      <w:spacing w:before="240" w:after="60"/>
      <w:outlineLvl w:val="8"/>
    </w:pPr>
    <w:rPr>
      <w:rFonts w:ascii="Calibri Light" w:eastAsia="DengXian Light" w:hAnsi="Calibri Light" w:cs="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F5808"/>
    <w:rPr>
      <w:rFonts w:ascii="Times New Roman" w:hAnsi="Times New Roman" w:cs="Times New Roman"/>
      <w:b/>
      <w:bCs/>
      <w:noProof/>
      <w:sz w:val="22"/>
      <w:szCs w:val="22"/>
      <w:lang w:eastAsia="zh-CN"/>
    </w:rPr>
  </w:style>
  <w:style w:type="character" w:customStyle="1" w:styleId="Heading2Char">
    <w:name w:val="Heading 2 Char"/>
    <w:basedOn w:val="DefaultParagraphFont"/>
    <w:link w:val="Heading2"/>
    <w:uiPriority w:val="99"/>
    <w:locked/>
    <w:rsid w:val="00DF5808"/>
    <w:rPr>
      <w:rFonts w:ascii="Times New Roman" w:hAnsi="Times New Roman" w:cs="Times New Roman"/>
      <w:b/>
      <w:bCs/>
      <w:noProof/>
      <w:sz w:val="22"/>
      <w:szCs w:val="22"/>
      <w:lang w:eastAsia="zh-CN"/>
    </w:rPr>
  </w:style>
  <w:style w:type="character" w:customStyle="1" w:styleId="Heading3Char">
    <w:name w:val="Heading 3 Char"/>
    <w:basedOn w:val="DefaultParagraphFont"/>
    <w:link w:val="Heading3"/>
    <w:uiPriority w:val="99"/>
    <w:locked/>
    <w:rsid w:val="00DF5808"/>
    <w:rPr>
      <w:rFonts w:ascii="Calibri Light" w:eastAsia="DengXian Light" w:hAnsi="Calibri Light" w:cs="Calibri Light"/>
      <w:b/>
      <w:bCs/>
      <w:noProof/>
      <w:sz w:val="26"/>
      <w:szCs w:val="26"/>
      <w:lang w:eastAsia="zh-CN"/>
    </w:rPr>
  </w:style>
  <w:style w:type="character" w:customStyle="1" w:styleId="Heading4Char">
    <w:name w:val="Heading 4 Char"/>
    <w:basedOn w:val="DefaultParagraphFont"/>
    <w:link w:val="Heading4"/>
    <w:uiPriority w:val="99"/>
    <w:locked/>
    <w:rsid w:val="00DF5808"/>
    <w:rPr>
      <w:rFonts w:eastAsia="DengXian"/>
      <w:b/>
      <w:bCs/>
      <w:noProof/>
      <w:sz w:val="28"/>
      <w:szCs w:val="28"/>
      <w:lang w:eastAsia="zh-CN"/>
    </w:rPr>
  </w:style>
  <w:style w:type="character" w:customStyle="1" w:styleId="Heading5Char">
    <w:name w:val="Heading 5 Char"/>
    <w:basedOn w:val="DefaultParagraphFont"/>
    <w:link w:val="Heading5"/>
    <w:uiPriority w:val="99"/>
    <w:locked/>
    <w:rsid w:val="00DF5808"/>
    <w:rPr>
      <w:rFonts w:eastAsia="DengXian"/>
      <w:b/>
      <w:bCs/>
      <w:i/>
      <w:iCs/>
      <w:noProof/>
      <w:sz w:val="26"/>
      <w:szCs w:val="26"/>
      <w:lang w:eastAsia="zh-CN"/>
    </w:rPr>
  </w:style>
  <w:style w:type="character" w:customStyle="1" w:styleId="Heading6Char">
    <w:name w:val="Heading 6 Char"/>
    <w:basedOn w:val="DefaultParagraphFont"/>
    <w:link w:val="Heading6"/>
    <w:uiPriority w:val="99"/>
    <w:locked/>
    <w:rsid w:val="00DF5808"/>
    <w:rPr>
      <w:rFonts w:eastAsia="DengXian"/>
      <w:b/>
      <w:bCs/>
      <w:noProof/>
      <w:sz w:val="22"/>
      <w:szCs w:val="22"/>
      <w:lang w:eastAsia="zh-CN"/>
    </w:rPr>
  </w:style>
  <w:style w:type="character" w:customStyle="1" w:styleId="Heading7Char">
    <w:name w:val="Heading 7 Char"/>
    <w:basedOn w:val="DefaultParagraphFont"/>
    <w:link w:val="Heading7"/>
    <w:uiPriority w:val="99"/>
    <w:locked/>
    <w:rsid w:val="00DF5808"/>
    <w:rPr>
      <w:rFonts w:eastAsia="DengXian"/>
      <w:noProof/>
      <w:sz w:val="24"/>
      <w:szCs w:val="24"/>
      <w:lang w:eastAsia="zh-CN"/>
    </w:rPr>
  </w:style>
  <w:style w:type="character" w:customStyle="1" w:styleId="Heading8Char">
    <w:name w:val="Heading 8 Char"/>
    <w:basedOn w:val="DefaultParagraphFont"/>
    <w:link w:val="Heading8"/>
    <w:uiPriority w:val="99"/>
    <w:locked/>
    <w:rsid w:val="00DF5808"/>
    <w:rPr>
      <w:rFonts w:eastAsia="DengXian"/>
      <w:i/>
      <w:iCs/>
      <w:noProof/>
      <w:sz w:val="24"/>
      <w:szCs w:val="24"/>
      <w:lang w:eastAsia="zh-CN"/>
    </w:rPr>
  </w:style>
  <w:style w:type="character" w:customStyle="1" w:styleId="Heading9Char">
    <w:name w:val="Heading 9 Char"/>
    <w:basedOn w:val="DefaultParagraphFont"/>
    <w:link w:val="Heading9"/>
    <w:uiPriority w:val="99"/>
    <w:locked/>
    <w:rsid w:val="00DF5808"/>
    <w:rPr>
      <w:rFonts w:ascii="Calibri Light" w:eastAsia="DengXian Light" w:hAnsi="Calibri Light" w:cs="Calibri Light"/>
      <w:noProof/>
      <w:sz w:val="22"/>
      <w:szCs w:val="22"/>
      <w:lang w:eastAsia="zh-CN"/>
    </w:rPr>
  </w:style>
  <w:style w:type="paragraph" w:customStyle="1" w:styleId="NormalKeep">
    <w:name w:val="Normal Keep"/>
    <w:basedOn w:val="Normal"/>
    <w:link w:val="NormalKeepChar"/>
    <w:uiPriority w:val="99"/>
    <w:rsid w:val="00DF5808"/>
    <w:pPr>
      <w:keepNext/>
    </w:pPr>
    <w:rPr>
      <w:noProof w:val="0"/>
    </w:rPr>
  </w:style>
  <w:style w:type="paragraph" w:customStyle="1" w:styleId="Bullet">
    <w:name w:val="Bullet •"/>
    <w:basedOn w:val="Normal"/>
    <w:uiPriority w:val="99"/>
    <w:rsid w:val="00DF5808"/>
    <w:pPr>
      <w:numPr>
        <w:numId w:val="12"/>
      </w:numPr>
      <w:tabs>
        <w:tab w:val="clear" w:pos="720"/>
      </w:tabs>
      <w:ind w:left="562" w:hanging="562"/>
    </w:pPr>
  </w:style>
  <w:style w:type="paragraph" w:customStyle="1" w:styleId="Bullet2">
    <w:name w:val="Bullet • 2"/>
    <w:basedOn w:val="Normal"/>
    <w:uiPriority w:val="99"/>
    <w:rsid w:val="00DF5808"/>
    <w:pPr>
      <w:numPr>
        <w:numId w:val="28"/>
      </w:numPr>
      <w:tabs>
        <w:tab w:val="clear" w:pos="1800"/>
      </w:tabs>
      <w:ind w:left="1134" w:hanging="567"/>
    </w:pPr>
  </w:style>
  <w:style w:type="paragraph" w:customStyle="1" w:styleId="Bullet-">
    <w:name w:val="Bullet -"/>
    <w:basedOn w:val="Normal"/>
    <w:uiPriority w:val="99"/>
    <w:rsid w:val="00DF5808"/>
    <w:pPr>
      <w:numPr>
        <w:numId w:val="13"/>
      </w:numPr>
      <w:tabs>
        <w:tab w:val="clear" w:pos="1080"/>
      </w:tabs>
      <w:ind w:left="562" w:hanging="562"/>
    </w:pPr>
  </w:style>
  <w:style w:type="paragraph" w:customStyle="1" w:styleId="Bullet-2">
    <w:name w:val="Bullet - 2"/>
    <w:basedOn w:val="Normal"/>
    <w:uiPriority w:val="99"/>
    <w:rsid w:val="00DF5808"/>
    <w:pPr>
      <w:numPr>
        <w:numId w:val="40"/>
      </w:numPr>
    </w:pPr>
  </w:style>
  <w:style w:type="paragraph" w:styleId="NormalIndent">
    <w:name w:val="Normal Indent"/>
    <w:basedOn w:val="Normal"/>
    <w:uiPriority w:val="99"/>
    <w:rsid w:val="00DF5808"/>
    <w:pPr>
      <w:ind w:left="562"/>
    </w:pPr>
  </w:style>
  <w:style w:type="paragraph" w:styleId="Header">
    <w:name w:val="header"/>
    <w:basedOn w:val="Normal"/>
    <w:link w:val="HeaderChar"/>
    <w:uiPriority w:val="99"/>
    <w:rsid w:val="00DF5808"/>
    <w:pPr>
      <w:tabs>
        <w:tab w:val="center" w:pos="4680"/>
        <w:tab w:val="right" w:pos="9360"/>
      </w:tabs>
    </w:pPr>
    <w:rPr>
      <w:noProof w:val="0"/>
      <w:lang w:eastAsia="es-ES"/>
    </w:rPr>
  </w:style>
  <w:style w:type="character" w:customStyle="1" w:styleId="HeaderChar">
    <w:name w:val="Header Char"/>
    <w:basedOn w:val="DefaultParagraphFont"/>
    <w:link w:val="Header"/>
    <w:uiPriority w:val="99"/>
    <w:locked/>
    <w:rsid w:val="00DF5808"/>
    <w:rPr>
      <w:rFonts w:ascii="Times New Roman" w:hAnsi="Times New Roman" w:cs="Times New Roman"/>
      <w:sz w:val="22"/>
      <w:szCs w:val="22"/>
    </w:rPr>
  </w:style>
  <w:style w:type="paragraph" w:styleId="Footer">
    <w:name w:val="footer"/>
    <w:basedOn w:val="Normal"/>
    <w:link w:val="FooterChar"/>
    <w:uiPriority w:val="99"/>
    <w:rsid w:val="00DF5808"/>
    <w:pPr>
      <w:jc w:val="center"/>
    </w:pPr>
    <w:rPr>
      <w:rFonts w:ascii="Arial" w:hAnsi="Arial" w:cs="Arial"/>
      <w:noProof w:val="0"/>
      <w:sz w:val="16"/>
      <w:szCs w:val="16"/>
      <w:lang w:eastAsia="es-ES"/>
    </w:rPr>
  </w:style>
  <w:style w:type="character" w:customStyle="1" w:styleId="FooterChar">
    <w:name w:val="Footer Char"/>
    <w:basedOn w:val="DefaultParagraphFont"/>
    <w:link w:val="Footer"/>
    <w:uiPriority w:val="99"/>
    <w:locked/>
    <w:rsid w:val="00DF5808"/>
    <w:rPr>
      <w:rFonts w:ascii="Arial" w:hAnsi="Arial" w:cs="Arial"/>
      <w:sz w:val="16"/>
      <w:szCs w:val="16"/>
      <w:lang w:val="es-ES"/>
    </w:rPr>
  </w:style>
  <w:style w:type="paragraph" w:customStyle="1" w:styleId="Heading1LAB">
    <w:name w:val="Heading 1 LAB"/>
    <w:basedOn w:val="Heading1"/>
    <w:next w:val="NormalKeep"/>
    <w:link w:val="Heading1LABChar"/>
    <w:uiPriority w:val="99"/>
    <w:rsid w:val="00DF5808"/>
    <w:pPr>
      <w:pBdr>
        <w:top w:val="single" w:sz="8" w:space="1" w:color="auto"/>
        <w:left w:val="single" w:sz="8" w:space="4" w:color="auto"/>
        <w:bottom w:val="single" w:sz="8" w:space="1" w:color="auto"/>
        <w:right w:val="single" w:sz="8" w:space="4" w:color="auto"/>
      </w:pBdr>
    </w:pPr>
    <w:rPr>
      <w:noProof w:val="0"/>
    </w:rPr>
  </w:style>
  <w:style w:type="character" w:styleId="Emphasis">
    <w:name w:val="Emphasis"/>
    <w:basedOn w:val="DefaultParagraphFont"/>
    <w:uiPriority w:val="99"/>
    <w:qFormat/>
    <w:rsid w:val="00DF5808"/>
    <w:rPr>
      <w:i/>
      <w:iCs/>
    </w:rPr>
  </w:style>
  <w:style w:type="character" w:customStyle="1" w:styleId="Heading1LABChar">
    <w:name w:val="Heading 1 LAB Char"/>
    <w:link w:val="Heading1LAB"/>
    <w:uiPriority w:val="99"/>
    <w:locked/>
    <w:rsid w:val="00DF5808"/>
    <w:rPr>
      <w:rFonts w:ascii="Times New Roman" w:hAnsi="Times New Roman" w:cs="Times New Roman"/>
      <w:b/>
      <w:bCs/>
      <w:sz w:val="22"/>
      <w:szCs w:val="22"/>
      <w:lang w:val="es-ES" w:eastAsia="zh-CN"/>
    </w:rPr>
  </w:style>
  <w:style w:type="character" w:styleId="Strong">
    <w:name w:val="Strong"/>
    <w:basedOn w:val="DefaultParagraphFont"/>
    <w:uiPriority w:val="99"/>
    <w:qFormat/>
    <w:rsid w:val="00DF5808"/>
    <w:rPr>
      <w:b/>
      <w:bCs/>
    </w:rPr>
  </w:style>
  <w:style w:type="character" w:customStyle="1" w:styleId="Underline">
    <w:name w:val="Underline"/>
    <w:uiPriority w:val="99"/>
    <w:rsid w:val="00DF5808"/>
    <w:rPr>
      <w:u w:val="single"/>
    </w:rPr>
  </w:style>
  <w:style w:type="character" w:customStyle="1" w:styleId="Superscript">
    <w:name w:val="Superscript"/>
    <w:uiPriority w:val="99"/>
    <w:rsid w:val="00DF5808"/>
    <w:rPr>
      <w:vertAlign w:val="superscript"/>
    </w:rPr>
  </w:style>
  <w:style w:type="character" w:customStyle="1" w:styleId="Subscript">
    <w:name w:val="Subscript"/>
    <w:uiPriority w:val="99"/>
    <w:rsid w:val="00DF5808"/>
    <w:rPr>
      <w:vertAlign w:val="subscript"/>
    </w:rPr>
  </w:style>
  <w:style w:type="paragraph" w:customStyle="1" w:styleId="HeadingStrong">
    <w:name w:val="Heading Strong"/>
    <w:basedOn w:val="NormalKeep"/>
    <w:next w:val="NormalKeep"/>
    <w:link w:val="HeadingStrongChar"/>
    <w:uiPriority w:val="99"/>
    <w:rsid w:val="00DF5808"/>
    <w:pPr>
      <w:keepLines/>
    </w:pPr>
    <w:rPr>
      <w:b/>
      <w:bCs/>
    </w:rPr>
  </w:style>
  <w:style w:type="paragraph" w:customStyle="1" w:styleId="HeadingEmphasis">
    <w:name w:val="Heading Emphasis"/>
    <w:basedOn w:val="NormalKeep"/>
    <w:next w:val="NormalKeep"/>
    <w:uiPriority w:val="99"/>
    <w:rsid w:val="00DF5808"/>
    <w:pPr>
      <w:keepLines/>
    </w:pPr>
    <w:rPr>
      <w:i/>
      <w:iCs/>
    </w:rPr>
  </w:style>
  <w:style w:type="character" w:customStyle="1" w:styleId="NormalKeepChar">
    <w:name w:val="Normal Keep Char"/>
    <w:link w:val="NormalKeep"/>
    <w:uiPriority w:val="99"/>
    <w:locked/>
    <w:rsid w:val="00DF5808"/>
    <w:rPr>
      <w:rFonts w:ascii="Times New Roman" w:hAnsi="Times New Roman" w:cs="Times New Roman"/>
      <w:sz w:val="22"/>
      <w:szCs w:val="22"/>
      <w:lang w:val="es-ES" w:eastAsia="zh-CN"/>
    </w:rPr>
  </w:style>
  <w:style w:type="character" w:customStyle="1" w:styleId="HeadingStrongChar">
    <w:name w:val="Heading Strong Char"/>
    <w:link w:val="HeadingStrong"/>
    <w:uiPriority w:val="99"/>
    <w:locked/>
    <w:rsid w:val="00DF5808"/>
    <w:rPr>
      <w:rFonts w:ascii="Times New Roman" w:hAnsi="Times New Roman" w:cs="Times New Roman"/>
      <w:b/>
      <w:bCs/>
      <w:noProof/>
      <w:sz w:val="22"/>
      <w:szCs w:val="22"/>
      <w:lang w:eastAsia="zh-CN"/>
    </w:rPr>
  </w:style>
  <w:style w:type="paragraph" w:customStyle="1" w:styleId="HeadingUnderlined">
    <w:name w:val="Heading Underlined"/>
    <w:basedOn w:val="NormalKeep"/>
    <w:next w:val="NormalKeep"/>
    <w:link w:val="HeadingUnderlinedChar"/>
    <w:uiPriority w:val="99"/>
    <w:rsid w:val="00DF5808"/>
    <w:pPr>
      <w:keepLines/>
    </w:pPr>
    <w:rPr>
      <w:u w:val="single"/>
    </w:rPr>
  </w:style>
  <w:style w:type="paragraph" w:styleId="Title">
    <w:name w:val="Title"/>
    <w:basedOn w:val="Heading1"/>
    <w:next w:val="NormalKeep"/>
    <w:link w:val="TitleChar"/>
    <w:uiPriority w:val="99"/>
    <w:qFormat/>
    <w:rsid w:val="00DF5808"/>
    <w:pPr>
      <w:ind w:left="0" w:firstLine="0"/>
      <w:jc w:val="center"/>
    </w:pPr>
    <w:rPr>
      <w:noProof w:val="0"/>
      <w:lang w:eastAsia="es-ES"/>
    </w:rPr>
  </w:style>
  <w:style w:type="character" w:customStyle="1" w:styleId="TitleChar">
    <w:name w:val="Title Char"/>
    <w:basedOn w:val="DefaultParagraphFont"/>
    <w:link w:val="Title"/>
    <w:uiPriority w:val="99"/>
    <w:locked/>
    <w:rsid w:val="00DF5808"/>
    <w:rPr>
      <w:rFonts w:ascii="Times New Roman" w:hAnsi="Times New Roman" w:cs="Times New Roman"/>
      <w:b/>
      <w:bCs/>
      <w:sz w:val="22"/>
      <w:szCs w:val="22"/>
      <w:lang w:val="es-ES"/>
    </w:rPr>
  </w:style>
  <w:style w:type="character" w:customStyle="1" w:styleId="HeadingUnderlinedChar">
    <w:name w:val="Heading Underlined Char"/>
    <w:link w:val="HeadingUnderlined"/>
    <w:uiPriority w:val="99"/>
    <w:locked/>
    <w:rsid w:val="00DF5808"/>
    <w:rPr>
      <w:rFonts w:ascii="Times New Roman" w:hAnsi="Times New Roman" w:cs="Times New Roman"/>
      <w:noProof/>
      <w:sz w:val="22"/>
      <w:szCs w:val="22"/>
      <w:u w:val="single"/>
      <w:lang w:eastAsia="zh-CN"/>
    </w:rPr>
  </w:style>
  <w:style w:type="paragraph" w:customStyle="1" w:styleId="NormalCentred">
    <w:name w:val="Normal Centred"/>
    <w:basedOn w:val="Normal"/>
    <w:uiPriority w:val="99"/>
    <w:rsid w:val="00DF5808"/>
    <w:pPr>
      <w:jc w:val="center"/>
    </w:pPr>
  </w:style>
  <w:style w:type="paragraph" w:customStyle="1" w:styleId="HeadingUnderlinedEmphasis">
    <w:name w:val="Heading Underlined Emphasis"/>
    <w:basedOn w:val="HeadingUnderlined"/>
    <w:next w:val="NormalKeep"/>
    <w:uiPriority w:val="99"/>
    <w:rsid w:val="00DF5808"/>
    <w:rPr>
      <w:i/>
      <w:iCs/>
    </w:rPr>
  </w:style>
  <w:style w:type="paragraph" w:customStyle="1" w:styleId="NormalHanging">
    <w:name w:val="Normal Hanging"/>
    <w:basedOn w:val="Normal"/>
    <w:uiPriority w:val="99"/>
    <w:rsid w:val="00DF5808"/>
    <w:pPr>
      <w:ind w:left="562" w:hanging="562"/>
    </w:pPr>
  </w:style>
  <w:style w:type="paragraph" w:customStyle="1" w:styleId="Heading1Indent">
    <w:name w:val="Heading 1 Indent"/>
    <w:basedOn w:val="Heading1"/>
    <w:next w:val="NormalKeep"/>
    <w:uiPriority w:val="99"/>
    <w:rsid w:val="00DF5808"/>
    <w:pPr>
      <w:ind w:left="1685" w:hanging="562"/>
    </w:pPr>
  </w:style>
  <w:style w:type="paragraph" w:customStyle="1" w:styleId="HeadingStrongEmphasis">
    <w:name w:val="Heading Strong Emphasis"/>
    <w:basedOn w:val="HeadingStrong"/>
    <w:next w:val="NormalKeep"/>
    <w:uiPriority w:val="99"/>
    <w:rsid w:val="00DF5808"/>
    <w:rPr>
      <w:i/>
      <w:iCs/>
    </w:rPr>
  </w:style>
  <w:style w:type="paragraph" w:customStyle="1" w:styleId="HeadingStrLAB">
    <w:name w:val="Heading Str LAB"/>
    <w:basedOn w:val="HeadingStrong"/>
    <w:next w:val="Normal"/>
    <w:uiPriority w:val="99"/>
    <w:rsid w:val="00DF5808"/>
    <w:pPr>
      <w:pBdr>
        <w:top w:val="single" w:sz="8" w:space="1" w:color="auto"/>
        <w:left w:val="single" w:sz="8" w:space="4" w:color="auto"/>
        <w:bottom w:val="single" w:sz="8" w:space="1" w:color="auto"/>
        <w:right w:val="single" w:sz="8" w:space="4" w:color="auto"/>
      </w:pBdr>
    </w:pPr>
  </w:style>
  <w:style w:type="paragraph" w:customStyle="1" w:styleId="TableFootnote">
    <w:name w:val="Table Footnote"/>
    <w:basedOn w:val="NormalHanging"/>
    <w:uiPriority w:val="99"/>
    <w:rsid w:val="00DF5808"/>
    <w:pPr>
      <w:ind w:left="288" w:hanging="288"/>
    </w:pPr>
  </w:style>
  <w:style w:type="character" w:styleId="Hyperlink">
    <w:name w:val="Hyperlink"/>
    <w:basedOn w:val="DefaultParagraphFont"/>
    <w:uiPriority w:val="99"/>
    <w:rsid w:val="00DF5808"/>
    <w:rPr>
      <w:color w:val="0000FF"/>
      <w:u w:val="single"/>
    </w:rPr>
  </w:style>
  <w:style w:type="paragraph" w:customStyle="1" w:styleId="TableTitle">
    <w:name w:val="Table Title"/>
    <w:basedOn w:val="Heading1"/>
    <w:next w:val="NormalKeep"/>
    <w:uiPriority w:val="99"/>
    <w:rsid w:val="00DF5808"/>
    <w:pPr>
      <w:ind w:left="1138" w:hanging="1138"/>
    </w:pPr>
  </w:style>
  <w:style w:type="table" w:styleId="TableGrid">
    <w:name w:val="Table Grid"/>
    <w:basedOn w:val="TableNormal"/>
    <w:uiPriority w:val="99"/>
    <w:rsid w:val="00DF5808"/>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lank">
    <w:name w:val="Blank"/>
    <w:uiPriority w:val="99"/>
    <w:rsid w:val="00DF5808"/>
    <w:rPr>
      <w:rFonts w:ascii="Times New Roman" w:hAnsi="Times New Roman"/>
      <w:sz w:val="20"/>
      <w:szCs w:val="20"/>
    </w:rPr>
    <w:tblPr>
      <w:tblCellMar>
        <w:top w:w="0" w:type="dxa"/>
        <w:left w:w="0" w:type="dxa"/>
        <w:bottom w:w="0" w:type="dxa"/>
        <w:right w:w="0" w:type="dxa"/>
      </w:tblCellMar>
    </w:tblPr>
    <w:trPr>
      <w:cantSplit/>
    </w:trPr>
  </w:style>
  <w:style w:type="table" w:customStyle="1" w:styleId="Standard1">
    <w:name w:val="Standard1"/>
    <w:uiPriority w:val="99"/>
    <w:rsid w:val="00DF5808"/>
    <w:rPr>
      <w:rFonts w:ascii="Times New Roman" w:hAnsi="Times New Roman"/>
      <w:sz w:val="20"/>
      <w:szCs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Pr>
    <w:trPr>
      <w:cantSplit/>
    </w:trPr>
  </w:style>
  <w:style w:type="character" w:customStyle="1" w:styleId="EmphasisUnderline">
    <w:name w:val="Emphasis Underline"/>
    <w:uiPriority w:val="99"/>
    <w:rsid w:val="00DF5808"/>
    <w:rPr>
      <w:i/>
      <w:iCs/>
      <w:u w:val="single"/>
    </w:rPr>
  </w:style>
  <w:style w:type="paragraph" w:styleId="BalloonText">
    <w:name w:val="Balloon Text"/>
    <w:basedOn w:val="Normal"/>
    <w:link w:val="BalloonTextChar"/>
    <w:uiPriority w:val="99"/>
    <w:semiHidden/>
    <w:rsid w:val="00DF5808"/>
    <w:rPr>
      <w:rFonts w:ascii="Segoe UI" w:hAnsi="Segoe UI" w:cs="Segoe UI"/>
      <w:noProof w:val="0"/>
      <w:sz w:val="18"/>
      <w:szCs w:val="18"/>
      <w:lang w:eastAsia="es-ES"/>
    </w:rPr>
  </w:style>
  <w:style w:type="character" w:customStyle="1" w:styleId="BalloonTextChar">
    <w:name w:val="Balloon Text Char"/>
    <w:basedOn w:val="DefaultParagraphFont"/>
    <w:link w:val="BalloonText"/>
    <w:uiPriority w:val="99"/>
    <w:semiHidden/>
    <w:locked/>
    <w:rsid w:val="00DF5808"/>
    <w:rPr>
      <w:rFonts w:ascii="Segoe UI" w:hAnsi="Segoe UI" w:cs="Segoe UI"/>
      <w:sz w:val="18"/>
      <w:szCs w:val="18"/>
      <w:lang w:val="es-ES"/>
    </w:rPr>
  </w:style>
  <w:style w:type="paragraph" w:styleId="Bibliography">
    <w:name w:val="Bibliography"/>
    <w:basedOn w:val="Normal"/>
    <w:next w:val="Normal"/>
    <w:uiPriority w:val="99"/>
    <w:semiHidden/>
    <w:rsid w:val="00DF5808"/>
  </w:style>
  <w:style w:type="paragraph" w:styleId="BlockText">
    <w:name w:val="Block Text"/>
    <w:basedOn w:val="Normal"/>
    <w:uiPriority w:val="99"/>
    <w:semiHidden/>
    <w:rsid w:val="00DF5808"/>
    <w:pPr>
      <w:spacing w:after="120"/>
      <w:ind w:left="1440" w:right="1440"/>
    </w:pPr>
  </w:style>
  <w:style w:type="paragraph" w:styleId="BodyText">
    <w:name w:val="Body Text"/>
    <w:basedOn w:val="Normal"/>
    <w:link w:val="BodyTextChar"/>
    <w:uiPriority w:val="99"/>
    <w:semiHidden/>
    <w:rsid w:val="00DF5808"/>
    <w:pPr>
      <w:spacing w:after="120"/>
    </w:pPr>
    <w:rPr>
      <w:noProof w:val="0"/>
      <w:lang w:eastAsia="es-ES"/>
    </w:rPr>
  </w:style>
  <w:style w:type="character" w:customStyle="1" w:styleId="BodyTextChar">
    <w:name w:val="Body Text Char"/>
    <w:basedOn w:val="DefaultParagraphFont"/>
    <w:link w:val="BodyText"/>
    <w:uiPriority w:val="99"/>
    <w:semiHidden/>
    <w:locked/>
    <w:rsid w:val="00DF5808"/>
    <w:rPr>
      <w:rFonts w:ascii="Times New Roman" w:hAnsi="Times New Roman" w:cs="Times New Roman"/>
      <w:sz w:val="22"/>
      <w:szCs w:val="22"/>
      <w:lang w:val="es-ES"/>
    </w:rPr>
  </w:style>
  <w:style w:type="paragraph" w:styleId="BodyText2">
    <w:name w:val="Body Text 2"/>
    <w:basedOn w:val="Normal"/>
    <w:link w:val="BodyText2Char"/>
    <w:uiPriority w:val="99"/>
    <w:semiHidden/>
    <w:rsid w:val="00DF5808"/>
    <w:pPr>
      <w:spacing w:after="120" w:line="480" w:lineRule="auto"/>
    </w:pPr>
    <w:rPr>
      <w:noProof w:val="0"/>
      <w:lang w:eastAsia="es-ES"/>
    </w:rPr>
  </w:style>
  <w:style w:type="character" w:customStyle="1" w:styleId="BodyText2Char">
    <w:name w:val="Body Text 2 Char"/>
    <w:basedOn w:val="DefaultParagraphFont"/>
    <w:link w:val="BodyText2"/>
    <w:uiPriority w:val="99"/>
    <w:semiHidden/>
    <w:locked/>
    <w:rsid w:val="00DF5808"/>
    <w:rPr>
      <w:rFonts w:ascii="Times New Roman" w:hAnsi="Times New Roman" w:cs="Times New Roman"/>
      <w:sz w:val="22"/>
      <w:szCs w:val="22"/>
      <w:lang w:val="es-ES"/>
    </w:rPr>
  </w:style>
  <w:style w:type="paragraph" w:styleId="BodyText3">
    <w:name w:val="Body Text 3"/>
    <w:basedOn w:val="Normal"/>
    <w:link w:val="BodyText3Char"/>
    <w:uiPriority w:val="99"/>
    <w:semiHidden/>
    <w:rsid w:val="00DF5808"/>
    <w:pPr>
      <w:spacing w:after="120"/>
    </w:pPr>
    <w:rPr>
      <w:sz w:val="16"/>
      <w:szCs w:val="16"/>
    </w:rPr>
  </w:style>
  <w:style w:type="character" w:customStyle="1" w:styleId="BodyText3Char">
    <w:name w:val="Body Text 3 Char"/>
    <w:basedOn w:val="DefaultParagraphFont"/>
    <w:link w:val="BodyText3"/>
    <w:uiPriority w:val="99"/>
    <w:semiHidden/>
    <w:locked/>
    <w:rsid w:val="00DF5808"/>
    <w:rPr>
      <w:rFonts w:ascii="Times New Roman" w:hAnsi="Times New Roman" w:cs="Times New Roman"/>
      <w:noProof/>
      <w:sz w:val="16"/>
      <w:szCs w:val="16"/>
      <w:lang w:eastAsia="zh-CN"/>
    </w:rPr>
  </w:style>
  <w:style w:type="paragraph" w:styleId="BodyTextFirstIndent">
    <w:name w:val="Body Text First Indent"/>
    <w:basedOn w:val="BodyText"/>
    <w:link w:val="BodyTextFirstIndentChar"/>
    <w:uiPriority w:val="99"/>
    <w:semiHidden/>
    <w:rsid w:val="00DF5808"/>
    <w:pPr>
      <w:ind w:firstLine="210"/>
    </w:pPr>
  </w:style>
  <w:style w:type="character" w:customStyle="1" w:styleId="BodyTextFirstIndentChar">
    <w:name w:val="Body Text First Indent Char"/>
    <w:basedOn w:val="BodyTextChar"/>
    <w:link w:val="BodyTextFirstIndent"/>
    <w:uiPriority w:val="99"/>
    <w:semiHidden/>
    <w:locked/>
    <w:rsid w:val="00DF5808"/>
    <w:rPr>
      <w:rFonts w:ascii="Times New Roman" w:hAnsi="Times New Roman" w:cs="Times New Roman"/>
      <w:sz w:val="22"/>
      <w:szCs w:val="22"/>
      <w:lang w:val="es-ES"/>
    </w:rPr>
  </w:style>
  <w:style w:type="paragraph" w:styleId="BodyTextIndent">
    <w:name w:val="Body Text Indent"/>
    <w:basedOn w:val="Normal"/>
    <w:link w:val="BodyTextIndentChar"/>
    <w:uiPriority w:val="99"/>
    <w:semiHidden/>
    <w:rsid w:val="00DF5808"/>
    <w:pPr>
      <w:spacing w:after="120"/>
      <w:ind w:left="360"/>
    </w:pPr>
    <w:rPr>
      <w:noProof w:val="0"/>
      <w:lang w:eastAsia="es-ES"/>
    </w:rPr>
  </w:style>
  <w:style w:type="character" w:customStyle="1" w:styleId="BodyTextIndentChar">
    <w:name w:val="Body Text Indent Char"/>
    <w:basedOn w:val="DefaultParagraphFont"/>
    <w:link w:val="BodyTextIndent"/>
    <w:uiPriority w:val="99"/>
    <w:semiHidden/>
    <w:locked/>
    <w:rsid w:val="00DF5808"/>
    <w:rPr>
      <w:rFonts w:ascii="Times New Roman" w:hAnsi="Times New Roman" w:cs="Times New Roman"/>
      <w:sz w:val="22"/>
      <w:szCs w:val="22"/>
      <w:lang w:val="es-ES"/>
    </w:rPr>
  </w:style>
  <w:style w:type="paragraph" w:styleId="BodyTextFirstIndent2">
    <w:name w:val="Body Text First Indent 2"/>
    <w:basedOn w:val="BodyTextIndent"/>
    <w:link w:val="BodyTextFirstIndent2Char"/>
    <w:uiPriority w:val="99"/>
    <w:semiHidden/>
    <w:rsid w:val="00DF5808"/>
    <w:pPr>
      <w:ind w:firstLine="210"/>
    </w:pPr>
  </w:style>
  <w:style w:type="character" w:customStyle="1" w:styleId="BodyTextFirstIndent2Char">
    <w:name w:val="Body Text First Indent 2 Char"/>
    <w:basedOn w:val="BodyTextIndentChar"/>
    <w:link w:val="BodyTextFirstIndent2"/>
    <w:uiPriority w:val="99"/>
    <w:semiHidden/>
    <w:locked/>
    <w:rsid w:val="00DF5808"/>
    <w:rPr>
      <w:rFonts w:ascii="Times New Roman" w:hAnsi="Times New Roman" w:cs="Times New Roman"/>
      <w:sz w:val="22"/>
      <w:szCs w:val="22"/>
      <w:lang w:val="es-ES"/>
    </w:rPr>
  </w:style>
  <w:style w:type="paragraph" w:styleId="BodyTextIndent2">
    <w:name w:val="Body Text Indent 2"/>
    <w:basedOn w:val="Normal"/>
    <w:link w:val="BodyTextIndent2Char"/>
    <w:uiPriority w:val="99"/>
    <w:semiHidden/>
    <w:rsid w:val="00DF5808"/>
    <w:pPr>
      <w:spacing w:after="120" w:line="480" w:lineRule="auto"/>
      <w:ind w:left="360"/>
    </w:pPr>
    <w:rPr>
      <w:noProof w:val="0"/>
      <w:lang w:eastAsia="es-ES"/>
    </w:rPr>
  </w:style>
  <w:style w:type="character" w:customStyle="1" w:styleId="BodyTextIndent2Char">
    <w:name w:val="Body Text Indent 2 Char"/>
    <w:basedOn w:val="DefaultParagraphFont"/>
    <w:link w:val="BodyTextIndent2"/>
    <w:uiPriority w:val="99"/>
    <w:semiHidden/>
    <w:locked/>
    <w:rsid w:val="00DF5808"/>
    <w:rPr>
      <w:rFonts w:ascii="Times New Roman" w:hAnsi="Times New Roman" w:cs="Times New Roman"/>
      <w:sz w:val="22"/>
      <w:szCs w:val="22"/>
      <w:lang w:val="es-ES"/>
    </w:rPr>
  </w:style>
  <w:style w:type="paragraph" w:styleId="BodyTextIndent3">
    <w:name w:val="Body Text Indent 3"/>
    <w:basedOn w:val="Normal"/>
    <w:link w:val="BodyTextIndent3Char"/>
    <w:uiPriority w:val="99"/>
    <w:semiHidden/>
    <w:rsid w:val="00DF5808"/>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DF5808"/>
    <w:rPr>
      <w:rFonts w:ascii="Times New Roman" w:hAnsi="Times New Roman" w:cs="Times New Roman"/>
      <w:noProof/>
      <w:sz w:val="16"/>
      <w:szCs w:val="16"/>
      <w:lang w:eastAsia="zh-CN"/>
    </w:rPr>
  </w:style>
  <w:style w:type="paragraph" w:styleId="Caption">
    <w:name w:val="caption"/>
    <w:basedOn w:val="Normal"/>
    <w:next w:val="Normal"/>
    <w:uiPriority w:val="99"/>
    <w:qFormat/>
    <w:rsid w:val="00DF5808"/>
    <w:rPr>
      <w:b/>
      <w:bCs/>
      <w:sz w:val="20"/>
      <w:szCs w:val="20"/>
    </w:rPr>
  </w:style>
  <w:style w:type="paragraph" w:styleId="Closing">
    <w:name w:val="Closing"/>
    <w:basedOn w:val="Normal"/>
    <w:link w:val="ClosingChar"/>
    <w:uiPriority w:val="99"/>
    <w:semiHidden/>
    <w:rsid w:val="00DF5808"/>
    <w:pPr>
      <w:ind w:left="4320"/>
    </w:pPr>
    <w:rPr>
      <w:noProof w:val="0"/>
      <w:lang w:eastAsia="es-ES"/>
    </w:rPr>
  </w:style>
  <w:style w:type="character" w:customStyle="1" w:styleId="ClosingChar">
    <w:name w:val="Closing Char"/>
    <w:basedOn w:val="DefaultParagraphFont"/>
    <w:link w:val="Closing"/>
    <w:uiPriority w:val="99"/>
    <w:semiHidden/>
    <w:locked/>
    <w:rsid w:val="00DF5808"/>
    <w:rPr>
      <w:rFonts w:ascii="Times New Roman" w:hAnsi="Times New Roman" w:cs="Times New Roman"/>
      <w:sz w:val="22"/>
      <w:szCs w:val="22"/>
      <w:lang w:val="es-ES"/>
    </w:rPr>
  </w:style>
  <w:style w:type="paragraph" w:styleId="CommentText">
    <w:name w:val="annotation text"/>
    <w:basedOn w:val="Normal"/>
    <w:link w:val="CommentTextChar"/>
    <w:uiPriority w:val="99"/>
    <w:semiHidden/>
    <w:rsid w:val="00DF5808"/>
    <w:rPr>
      <w:sz w:val="20"/>
      <w:szCs w:val="20"/>
    </w:rPr>
  </w:style>
  <w:style w:type="character" w:customStyle="1" w:styleId="CommentTextChar">
    <w:name w:val="Comment Text Char"/>
    <w:basedOn w:val="DefaultParagraphFont"/>
    <w:link w:val="CommentText"/>
    <w:uiPriority w:val="99"/>
    <w:locked/>
    <w:rsid w:val="00DF5808"/>
    <w:rPr>
      <w:rFonts w:ascii="Times New Roman" w:hAnsi="Times New Roman" w:cs="Times New Roman"/>
      <w:noProof/>
      <w:lang w:eastAsia="zh-CN"/>
    </w:rPr>
  </w:style>
  <w:style w:type="paragraph" w:styleId="CommentSubject">
    <w:name w:val="annotation subject"/>
    <w:basedOn w:val="CommentText"/>
    <w:next w:val="CommentText"/>
    <w:link w:val="CommentSubjectChar"/>
    <w:uiPriority w:val="99"/>
    <w:semiHidden/>
    <w:rsid w:val="00DF5808"/>
    <w:rPr>
      <w:b/>
      <w:bCs/>
    </w:rPr>
  </w:style>
  <w:style w:type="character" w:customStyle="1" w:styleId="CommentSubjectChar">
    <w:name w:val="Comment Subject Char"/>
    <w:basedOn w:val="CommentTextChar"/>
    <w:link w:val="CommentSubject"/>
    <w:uiPriority w:val="99"/>
    <w:semiHidden/>
    <w:locked/>
    <w:rsid w:val="00DF5808"/>
    <w:rPr>
      <w:rFonts w:ascii="Times New Roman" w:hAnsi="Times New Roman" w:cs="Times New Roman"/>
      <w:b/>
      <w:bCs/>
      <w:noProof/>
      <w:lang w:eastAsia="zh-CN"/>
    </w:rPr>
  </w:style>
  <w:style w:type="paragraph" w:styleId="Date">
    <w:name w:val="Date"/>
    <w:basedOn w:val="Normal"/>
    <w:next w:val="Normal"/>
    <w:link w:val="DateChar"/>
    <w:uiPriority w:val="99"/>
    <w:semiHidden/>
    <w:rsid w:val="00DF5808"/>
    <w:rPr>
      <w:noProof w:val="0"/>
      <w:lang w:eastAsia="es-ES"/>
    </w:rPr>
  </w:style>
  <w:style w:type="character" w:customStyle="1" w:styleId="DateChar">
    <w:name w:val="Date Char"/>
    <w:basedOn w:val="DefaultParagraphFont"/>
    <w:link w:val="Date"/>
    <w:uiPriority w:val="99"/>
    <w:semiHidden/>
    <w:locked/>
    <w:rsid w:val="00DF5808"/>
    <w:rPr>
      <w:rFonts w:ascii="Times New Roman" w:hAnsi="Times New Roman" w:cs="Times New Roman"/>
      <w:sz w:val="22"/>
      <w:szCs w:val="22"/>
      <w:lang w:val="es-ES"/>
    </w:rPr>
  </w:style>
  <w:style w:type="paragraph" w:styleId="DocumentMap">
    <w:name w:val="Document Map"/>
    <w:basedOn w:val="Normal"/>
    <w:link w:val="DocumentMapChar"/>
    <w:uiPriority w:val="99"/>
    <w:semiHidden/>
    <w:rsid w:val="00DF5808"/>
    <w:rPr>
      <w:rFonts w:ascii="Segoe UI" w:hAnsi="Segoe UI" w:cs="Segoe UI"/>
      <w:noProof w:val="0"/>
      <w:sz w:val="16"/>
      <w:szCs w:val="16"/>
      <w:lang w:eastAsia="es-ES"/>
    </w:rPr>
  </w:style>
  <w:style w:type="character" w:customStyle="1" w:styleId="DocumentMapChar">
    <w:name w:val="Document Map Char"/>
    <w:basedOn w:val="DefaultParagraphFont"/>
    <w:link w:val="DocumentMap"/>
    <w:uiPriority w:val="99"/>
    <w:semiHidden/>
    <w:locked/>
    <w:rsid w:val="00DF5808"/>
    <w:rPr>
      <w:rFonts w:ascii="Segoe UI" w:hAnsi="Segoe UI" w:cs="Segoe UI"/>
      <w:sz w:val="16"/>
      <w:szCs w:val="16"/>
      <w:lang w:val="es-ES"/>
    </w:rPr>
  </w:style>
  <w:style w:type="paragraph" w:styleId="E-mailSignature">
    <w:name w:val="E-mail Signature"/>
    <w:basedOn w:val="Normal"/>
    <w:link w:val="E-mailSignatureChar"/>
    <w:uiPriority w:val="99"/>
    <w:semiHidden/>
    <w:rsid w:val="00DF5808"/>
    <w:rPr>
      <w:noProof w:val="0"/>
      <w:lang w:eastAsia="es-ES"/>
    </w:rPr>
  </w:style>
  <w:style w:type="character" w:customStyle="1" w:styleId="E-mailSignatureChar">
    <w:name w:val="E-mail Signature Char"/>
    <w:basedOn w:val="DefaultParagraphFont"/>
    <w:link w:val="E-mailSignature"/>
    <w:uiPriority w:val="99"/>
    <w:semiHidden/>
    <w:locked/>
    <w:rsid w:val="00DF5808"/>
    <w:rPr>
      <w:rFonts w:ascii="Times New Roman" w:hAnsi="Times New Roman" w:cs="Times New Roman"/>
      <w:sz w:val="22"/>
      <w:szCs w:val="22"/>
      <w:lang w:val="es-ES"/>
    </w:rPr>
  </w:style>
  <w:style w:type="paragraph" w:styleId="EndnoteText">
    <w:name w:val="endnote text"/>
    <w:basedOn w:val="Normal"/>
    <w:link w:val="EndnoteTextChar"/>
    <w:uiPriority w:val="99"/>
    <w:semiHidden/>
    <w:rsid w:val="00DF5808"/>
    <w:rPr>
      <w:sz w:val="20"/>
      <w:szCs w:val="20"/>
    </w:rPr>
  </w:style>
  <w:style w:type="character" w:customStyle="1" w:styleId="EndnoteTextChar">
    <w:name w:val="Endnote Text Char"/>
    <w:basedOn w:val="DefaultParagraphFont"/>
    <w:link w:val="EndnoteText"/>
    <w:uiPriority w:val="99"/>
    <w:semiHidden/>
    <w:locked/>
    <w:rsid w:val="00DF5808"/>
    <w:rPr>
      <w:rFonts w:ascii="Times New Roman" w:hAnsi="Times New Roman" w:cs="Times New Roman"/>
      <w:noProof/>
      <w:lang w:eastAsia="zh-CN"/>
    </w:rPr>
  </w:style>
  <w:style w:type="paragraph" w:styleId="EnvelopeAddress">
    <w:name w:val="envelope address"/>
    <w:basedOn w:val="Normal"/>
    <w:uiPriority w:val="99"/>
    <w:semiHidden/>
    <w:rsid w:val="00DF5808"/>
    <w:pPr>
      <w:framePr w:w="7920" w:h="1980" w:hRule="exact" w:hSpace="180" w:wrap="auto" w:hAnchor="page" w:xAlign="center" w:yAlign="bottom"/>
      <w:ind w:left="2880"/>
    </w:pPr>
    <w:rPr>
      <w:rFonts w:ascii="Calibri Light" w:eastAsia="DengXian Light" w:hAnsi="Calibri Light" w:cs="Calibri Light"/>
      <w:sz w:val="24"/>
      <w:szCs w:val="24"/>
    </w:rPr>
  </w:style>
  <w:style w:type="paragraph" w:styleId="EnvelopeReturn">
    <w:name w:val="envelope return"/>
    <w:basedOn w:val="Normal"/>
    <w:uiPriority w:val="99"/>
    <w:semiHidden/>
    <w:rsid w:val="00DF5808"/>
    <w:rPr>
      <w:rFonts w:ascii="Calibri Light" w:eastAsia="DengXian Light" w:hAnsi="Calibri Light" w:cs="Calibri Light"/>
      <w:sz w:val="20"/>
      <w:szCs w:val="20"/>
    </w:rPr>
  </w:style>
  <w:style w:type="paragraph" w:styleId="FootnoteText">
    <w:name w:val="footnote text"/>
    <w:basedOn w:val="Normal"/>
    <w:link w:val="FootnoteTextChar"/>
    <w:uiPriority w:val="99"/>
    <w:semiHidden/>
    <w:rsid w:val="00DF5808"/>
    <w:rPr>
      <w:sz w:val="20"/>
      <w:szCs w:val="20"/>
    </w:rPr>
  </w:style>
  <w:style w:type="character" w:customStyle="1" w:styleId="FootnoteTextChar">
    <w:name w:val="Footnote Text Char"/>
    <w:basedOn w:val="DefaultParagraphFont"/>
    <w:link w:val="FootnoteText"/>
    <w:uiPriority w:val="99"/>
    <w:semiHidden/>
    <w:locked/>
    <w:rsid w:val="00DF5808"/>
    <w:rPr>
      <w:rFonts w:ascii="Times New Roman" w:hAnsi="Times New Roman" w:cs="Times New Roman"/>
      <w:noProof/>
      <w:lang w:eastAsia="zh-CN"/>
    </w:rPr>
  </w:style>
  <w:style w:type="paragraph" w:styleId="HTMLAddress">
    <w:name w:val="HTML Address"/>
    <w:basedOn w:val="Normal"/>
    <w:link w:val="HTMLAddressChar"/>
    <w:uiPriority w:val="99"/>
    <w:semiHidden/>
    <w:rsid w:val="00DF5808"/>
    <w:rPr>
      <w:i/>
      <w:iCs/>
    </w:rPr>
  </w:style>
  <w:style w:type="character" w:customStyle="1" w:styleId="HTMLAddressChar">
    <w:name w:val="HTML Address Char"/>
    <w:basedOn w:val="DefaultParagraphFont"/>
    <w:link w:val="HTMLAddress"/>
    <w:uiPriority w:val="99"/>
    <w:semiHidden/>
    <w:locked/>
    <w:rsid w:val="00DF5808"/>
    <w:rPr>
      <w:rFonts w:ascii="Times New Roman" w:hAnsi="Times New Roman" w:cs="Times New Roman"/>
      <w:i/>
      <w:iCs/>
      <w:noProof/>
      <w:sz w:val="22"/>
      <w:szCs w:val="22"/>
      <w:lang w:eastAsia="zh-CN"/>
    </w:rPr>
  </w:style>
  <w:style w:type="paragraph" w:styleId="HTMLPreformatted">
    <w:name w:val="HTML Preformatted"/>
    <w:basedOn w:val="Normal"/>
    <w:link w:val="HTMLPreformattedChar"/>
    <w:uiPriority w:val="99"/>
    <w:semiHidden/>
    <w:rsid w:val="00DF5808"/>
    <w:rPr>
      <w:rFonts w:ascii="Courier New" w:hAnsi="Courier New" w:cs="Courier New"/>
      <w:noProof w:val="0"/>
      <w:sz w:val="20"/>
      <w:szCs w:val="20"/>
      <w:lang w:eastAsia="es-ES"/>
    </w:rPr>
  </w:style>
  <w:style w:type="character" w:customStyle="1" w:styleId="HTMLPreformattedChar">
    <w:name w:val="HTML Preformatted Char"/>
    <w:basedOn w:val="DefaultParagraphFont"/>
    <w:link w:val="HTMLPreformatted"/>
    <w:uiPriority w:val="99"/>
    <w:semiHidden/>
    <w:locked/>
    <w:rsid w:val="00DF5808"/>
    <w:rPr>
      <w:rFonts w:ascii="Courier New" w:hAnsi="Courier New" w:cs="Courier New"/>
      <w:lang w:val="es-ES"/>
    </w:rPr>
  </w:style>
  <w:style w:type="paragraph" w:styleId="Index1">
    <w:name w:val="index 1"/>
    <w:basedOn w:val="Normal"/>
    <w:next w:val="Normal"/>
    <w:autoRedefine/>
    <w:uiPriority w:val="99"/>
    <w:semiHidden/>
    <w:rsid w:val="00DF5808"/>
    <w:pPr>
      <w:ind w:left="220" w:hanging="220"/>
    </w:pPr>
  </w:style>
  <w:style w:type="paragraph" w:styleId="Index2">
    <w:name w:val="index 2"/>
    <w:basedOn w:val="Normal"/>
    <w:next w:val="Normal"/>
    <w:autoRedefine/>
    <w:uiPriority w:val="99"/>
    <w:semiHidden/>
    <w:rsid w:val="00DF5808"/>
    <w:pPr>
      <w:ind w:left="440" w:hanging="220"/>
    </w:pPr>
  </w:style>
  <w:style w:type="paragraph" w:styleId="Index3">
    <w:name w:val="index 3"/>
    <w:basedOn w:val="Normal"/>
    <w:next w:val="Normal"/>
    <w:autoRedefine/>
    <w:uiPriority w:val="99"/>
    <w:semiHidden/>
    <w:rsid w:val="00DF5808"/>
    <w:pPr>
      <w:ind w:left="660" w:hanging="220"/>
    </w:pPr>
  </w:style>
  <w:style w:type="paragraph" w:styleId="Index4">
    <w:name w:val="index 4"/>
    <w:basedOn w:val="Normal"/>
    <w:next w:val="Normal"/>
    <w:autoRedefine/>
    <w:uiPriority w:val="99"/>
    <w:semiHidden/>
    <w:rsid w:val="00DF5808"/>
    <w:pPr>
      <w:ind w:left="880" w:hanging="220"/>
    </w:pPr>
  </w:style>
  <w:style w:type="paragraph" w:styleId="Index5">
    <w:name w:val="index 5"/>
    <w:basedOn w:val="Normal"/>
    <w:next w:val="Normal"/>
    <w:autoRedefine/>
    <w:uiPriority w:val="99"/>
    <w:semiHidden/>
    <w:rsid w:val="00DF5808"/>
    <w:pPr>
      <w:ind w:left="1100" w:hanging="220"/>
    </w:pPr>
  </w:style>
  <w:style w:type="paragraph" w:styleId="Index6">
    <w:name w:val="index 6"/>
    <w:basedOn w:val="Normal"/>
    <w:next w:val="Normal"/>
    <w:autoRedefine/>
    <w:uiPriority w:val="99"/>
    <w:semiHidden/>
    <w:rsid w:val="00DF5808"/>
    <w:pPr>
      <w:ind w:left="1320" w:hanging="220"/>
    </w:pPr>
  </w:style>
  <w:style w:type="paragraph" w:styleId="Index7">
    <w:name w:val="index 7"/>
    <w:basedOn w:val="Normal"/>
    <w:next w:val="Normal"/>
    <w:autoRedefine/>
    <w:uiPriority w:val="99"/>
    <w:semiHidden/>
    <w:rsid w:val="00DF5808"/>
    <w:pPr>
      <w:ind w:left="1540" w:hanging="220"/>
    </w:pPr>
  </w:style>
  <w:style w:type="paragraph" w:styleId="Index8">
    <w:name w:val="index 8"/>
    <w:basedOn w:val="Normal"/>
    <w:next w:val="Normal"/>
    <w:autoRedefine/>
    <w:uiPriority w:val="99"/>
    <w:semiHidden/>
    <w:rsid w:val="00DF5808"/>
    <w:pPr>
      <w:ind w:left="1760" w:hanging="220"/>
    </w:pPr>
  </w:style>
  <w:style w:type="paragraph" w:styleId="Index9">
    <w:name w:val="index 9"/>
    <w:basedOn w:val="Normal"/>
    <w:next w:val="Normal"/>
    <w:autoRedefine/>
    <w:uiPriority w:val="99"/>
    <w:semiHidden/>
    <w:rsid w:val="00DF5808"/>
    <w:pPr>
      <w:ind w:left="1980" w:hanging="220"/>
    </w:pPr>
  </w:style>
  <w:style w:type="paragraph" w:styleId="IndexHeading">
    <w:name w:val="index heading"/>
    <w:basedOn w:val="Normal"/>
    <w:next w:val="Index1"/>
    <w:uiPriority w:val="99"/>
    <w:semiHidden/>
    <w:rsid w:val="00DF5808"/>
    <w:rPr>
      <w:rFonts w:ascii="Calibri Light" w:eastAsia="DengXian Light" w:hAnsi="Calibri Light" w:cs="Calibri Light"/>
      <w:b/>
      <w:bCs/>
    </w:rPr>
  </w:style>
  <w:style w:type="paragraph" w:styleId="IntenseQuote">
    <w:name w:val="Intense Quote"/>
    <w:basedOn w:val="Normal"/>
    <w:next w:val="Normal"/>
    <w:link w:val="IntenseQuoteChar"/>
    <w:uiPriority w:val="99"/>
    <w:qFormat/>
    <w:rsid w:val="00DF5808"/>
    <w:pPr>
      <w:pBdr>
        <w:top w:val="single" w:sz="4" w:space="10" w:color="4472C4"/>
        <w:bottom w:val="single" w:sz="4" w:space="10" w:color="4472C4"/>
      </w:pBdr>
      <w:spacing w:before="360" w:after="360"/>
      <w:ind w:left="864" w:right="864"/>
      <w:jc w:val="center"/>
    </w:pPr>
    <w:rPr>
      <w:i/>
      <w:iCs/>
      <w:noProof w:val="0"/>
      <w:color w:val="4472C4"/>
      <w:lang w:eastAsia="es-ES"/>
    </w:rPr>
  </w:style>
  <w:style w:type="character" w:customStyle="1" w:styleId="IntenseQuoteChar">
    <w:name w:val="Intense Quote Char"/>
    <w:basedOn w:val="DefaultParagraphFont"/>
    <w:link w:val="IntenseQuote"/>
    <w:uiPriority w:val="99"/>
    <w:locked/>
    <w:rsid w:val="00DF5808"/>
    <w:rPr>
      <w:rFonts w:ascii="Times New Roman" w:hAnsi="Times New Roman" w:cs="Times New Roman"/>
      <w:i/>
      <w:iCs/>
      <w:color w:val="4472C4"/>
      <w:sz w:val="22"/>
      <w:szCs w:val="22"/>
      <w:lang w:val="es-ES"/>
    </w:rPr>
  </w:style>
  <w:style w:type="paragraph" w:styleId="List">
    <w:name w:val="List"/>
    <w:basedOn w:val="Normal"/>
    <w:uiPriority w:val="99"/>
    <w:semiHidden/>
    <w:rsid w:val="00DF5808"/>
    <w:pPr>
      <w:ind w:left="360" w:hanging="360"/>
    </w:pPr>
  </w:style>
  <w:style w:type="paragraph" w:styleId="List2">
    <w:name w:val="List 2"/>
    <w:basedOn w:val="Normal"/>
    <w:uiPriority w:val="99"/>
    <w:semiHidden/>
    <w:rsid w:val="00DF5808"/>
    <w:pPr>
      <w:ind w:left="720" w:hanging="360"/>
    </w:pPr>
  </w:style>
  <w:style w:type="paragraph" w:styleId="List3">
    <w:name w:val="List 3"/>
    <w:basedOn w:val="Normal"/>
    <w:uiPriority w:val="99"/>
    <w:semiHidden/>
    <w:rsid w:val="00DF5808"/>
    <w:pPr>
      <w:ind w:left="1080" w:hanging="360"/>
    </w:pPr>
  </w:style>
  <w:style w:type="paragraph" w:styleId="List4">
    <w:name w:val="List 4"/>
    <w:basedOn w:val="Normal"/>
    <w:uiPriority w:val="99"/>
    <w:semiHidden/>
    <w:rsid w:val="00DF5808"/>
    <w:pPr>
      <w:ind w:left="1440" w:hanging="360"/>
    </w:pPr>
  </w:style>
  <w:style w:type="paragraph" w:styleId="List5">
    <w:name w:val="List 5"/>
    <w:basedOn w:val="Normal"/>
    <w:uiPriority w:val="99"/>
    <w:semiHidden/>
    <w:rsid w:val="00DF5808"/>
    <w:pPr>
      <w:ind w:left="1800" w:hanging="360"/>
    </w:pPr>
  </w:style>
  <w:style w:type="paragraph" w:styleId="ListBullet">
    <w:name w:val="List Bullet"/>
    <w:basedOn w:val="Normal"/>
    <w:uiPriority w:val="99"/>
    <w:rsid w:val="00DF5808"/>
    <w:pPr>
      <w:numPr>
        <w:numId w:val="14"/>
      </w:numPr>
      <w:tabs>
        <w:tab w:val="clear" w:pos="1440"/>
        <w:tab w:val="num" w:pos="360"/>
      </w:tabs>
      <w:ind w:left="360"/>
    </w:pPr>
  </w:style>
  <w:style w:type="paragraph" w:styleId="ListBullet2">
    <w:name w:val="List Bullet 2"/>
    <w:basedOn w:val="Normal"/>
    <w:uiPriority w:val="99"/>
    <w:semiHidden/>
    <w:rsid w:val="00DF5808"/>
    <w:pPr>
      <w:tabs>
        <w:tab w:val="num" w:pos="720"/>
      </w:tabs>
      <w:ind w:left="720" w:hanging="360"/>
    </w:pPr>
  </w:style>
  <w:style w:type="paragraph" w:styleId="ListBullet3">
    <w:name w:val="List Bullet 3"/>
    <w:basedOn w:val="Normal"/>
    <w:uiPriority w:val="99"/>
    <w:semiHidden/>
    <w:rsid w:val="00DF5808"/>
    <w:pPr>
      <w:numPr>
        <w:numId w:val="16"/>
      </w:numPr>
      <w:tabs>
        <w:tab w:val="clear" w:pos="360"/>
        <w:tab w:val="num" w:pos="1080"/>
      </w:tabs>
      <w:ind w:left="1080"/>
    </w:pPr>
  </w:style>
  <w:style w:type="paragraph" w:styleId="ListBullet4">
    <w:name w:val="List Bullet 4"/>
    <w:basedOn w:val="Normal"/>
    <w:uiPriority w:val="99"/>
    <w:semiHidden/>
    <w:rsid w:val="00DF5808"/>
    <w:pPr>
      <w:numPr>
        <w:numId w:val="17"/>
      </w:numPr>
      <w:tabs>
        <w:tab w:val="clear" w:pos="720"/>
        <w:tab w:val="num" w:pos="1440"/>
      </w:tabs>
      <w:ind w:left="1440"/>
    </w:pPr>
  </w:style>
  <w:style w:type="paragraph" w:styleId="ListBullet5">
    <w:name w:val="List Bullet 5"/>
    <w:basedOn w:val="Normal"/>
    <w:uiPriority w:val="99"/>
    <w:semiHidden/>
    <w:rsid w:val="00DF5808"/>
    <w:pPr>
      <w:numPr>
        <w:numId w:val="18"/>
      </w:numPr>
      <w:tabs>
        <w:tab w:val="clear" w:pos="1080"/>
        <w:tab w:val="num" w:pos="1800"/>
      </w:tabs>
      <w:ind w:left="1800"/>
    </w:pPr>
  </w:style>
  <w:style w:type="paragraph" w:styleId="ListContinue">
    <w:name w:val="List Continue"/>
    <w:basedOn w:val="Normal"/>
    <w:uiPriority w:val="99"/>
    <w:semiHidden/>
    <w:rsid w:val="00DF5808"/>
    <w:pPr>
      <w:spacing w:after="120"/>
      <w:ind w:left="360"/>
    </w:pPr>
  </w:style>
  <w:style w:type="paragraph" w:styleId="ListContinue2">
    <w:name w:val="List Continue 2"/>
    <w:basedOn w:val="Normal"/>
    <w:uiPriority w:val="99"/>
    <w:semiHidden/>
    <w:rsid w:val="00DF5808"/>
    <w:pPr>
      <w:spacing w:after="120"/>
      <w:ind w:left="720"/>
    </w:pPr>
  </w:style>
  <w:style w:type="paragraph" w:styleId="ListContinue3">
    <w:name w:val="List Continue 3"/>
    <w:basedOn w:val="Normal"/>
    <w:uiPriority w:val="99"/>
    <w:semiHidden/>
    <w:rsid w:val="00DF5808"/>
    <w:pPr>
      <w:spacing w:after="120"/>
      <w:ind w:left="1080"/>
    </w:pPr>
  </w:style>
  <w:style w:type="paragraph" w:styleId="ListContinue4">
    <w:name w:val="List Continue 4"/>
    <w:basedOn w:val="Normal"/>
    <w:uiPriority w:val="99"/>
    <w:semiHidden/>
    <w:rsid w:val="00DF5808"/>
    <w:pPr>
      <w:spacing w:after="120"/>
      <w:ind w:left="1440"/>
    </w:pPr>
  </w:style>
  <w:style w:type="paragraph" w:styleId="ListContinue5">
    <w:name w:val="List Continue 5"/>
    <w:basedOn w:val="Normal"/>
    <w:uiPriority w:val="99"/>
    <w:semiHidden/>
    <w:rsid w:val="00DF5808"/>
    <w:pPr>
      <w:spacing w:after="120"/>
      <w:ind w:left="1800"/>
    </w:pPr>
  </w:style>
  <w:style w:type="paragraph" w:styleId="ListNumber">
    <w:name w:val="List Number"/>
    <w:basedOn w:val="Normal"/>
    <w:uiPriority w:val="99"/>
    <w:semiHidden/>
    <w:rsid w:val="00DF5808"/>
    <w:pPr>
      <w:numPr>
        <w:numId w:val="19"/>
      </w:numPr>
      <w:tabs>
        <w:tab w:val="clear" w:pos="1440"/>
        <w:tab w:val="num" w:pos="360"/>
      </w:tabs>
      <w:ind w:left="360"/>
    </w:pPr>
  </w:style>
  <w:style w:type="paragraph" w:styleId="ListNumber2">
    <w:name w:val="List Number 2"/>
    <w:basedOn w:val="Normal"/>
    <w:uiPriority w:val="99"/>
    <w:semiHidden/>
    <w:rsid w:val="00DF5808"/>
    <w:pPr>
      <w:numPr>
        <w:numId w:val="20"/>
      </w:numPr>
      <w:tabs>
        <w:tab w:val="clear" w:pos="1800"/>
        <w:tab w:val="num" w:pos="720"/>
      </w:tabs>
      <w:ind w:left="720"/>
    </w:pPr>
  </w:style>
  <w:style w:type="paragraph" w:styleId="ListNumber3">
    <w:name w:val="List Number 3"/>
    <w:basedOn w:val="Normal"/>
    <w:uiPriority w:val="99"/>
    <w:semiHidden/>
    <w:rsid w:val="00DF5808"/>
    <w:pPr>
      <w:numPr>
        <w:numId w:val="21"/>
      </w:numPr>
      <w:tabs>
        <w:tab w:val="num" w:pos="1080"/>
      </w:tabs>
      <w:ind w:left="1080"/>
    </w:pPr>
  </w:style>
  <w:style w:type="paragraph" w:styleId="ListNumber4">
    <w:name w:val="List Number 4"/>
    <w:basedOn w:val="Normal"/>
    <w:uiPriority w:val="99"/>
    <w:semiHidden/>
    <w:rsid w:val="00DF5808"/>
    <w:pPr>
      <w:numPr>
        <w:numId w:val="22"/>
      </w:numPr>
      <w:tabs>
        <w:tab w:val="num" w:pos="1440"/>
      </w:tabs>
      <w:ind w:left="1440" w:hanging="360"/>
    </w:pPr>
  </w:style>
  <w:style w:type="paragraph" w:styleId="ListNumber5">
    <w:name w:val="List Number 5"/>
    <w:basedOn w:val="Normal"/>
    <w:uiPriority w:val="99"/>
    <w:semiHidden/>
    <w:rsid w:val="00DF5808"/>
    <w:pPr>
      <w:numPr>
        <w:numId w:val="23"/>
      </w:numPr>
      <w:tabs>
        <w:tab w:val="num" w:pos="1800"/>
      </w:tabs>
      <w:ind w:left="1800" w:hanging="360"/>
    </w:pPr>
  </w:style>
  <w:style w:type="paragraph" w:styleId="ListParagraph">
    <w:name w:val="List Paragraph"/>
    <w:basedOn w:val="Normal"/>
    <w:uiPriority w:val="99"/>
    <w:qFormat/>
    <w:rsid w:val="00DF5808"/>
    <w:pPr>
      <w:ind w:left="720"/>
    </w:pPr>
  </w:style>
  <w:style w:type="paragraph" w:styleId="MacroText">
    <w:name w:val="macro"/>
    <w:link w:val="MacroTextChar"/>
    <w:uiPriority w:val="99"/>
    <w:semiHidden/>
    <w:rsid w:val="00DF5808"/>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sz w:val="20"/>
      <w:szCs w:val="20"/>
      <w:lang w:eastAsia="zh-CN"/>
    </w:rPr>
  </w:style>
  <w:style w:type="character" w:customStyle="1" w:styleId="MacroTextChar">
    <w:name w:val="Macro Text Char"/>
    <w:basedOn w:val="DefaultParagraphFont"/>
    <w:link w:val="MacroText"/>
    <w:uiPriority w:val="99"/>
    <w:semiHidden/>
    <w:locked/>
    <w:rsid w:val="00DF5808"/>
    <w:rPr>
      <w:rFonts w:ascii="Courier New" w:hAnsi="Courier New" w:cs="Courier New"/>
      <w:lang w:val="es-ES" w:eastAsia="zh-CN"/>
    </w:rPr>
  </w:style>
  <w:style w:type="paragraph" w:styleId="MessageHeader">
    <w:name w:val="Message Header"/>
    <w:basedOn w:val="Normal"/>
    <w:link w:val="MessageHeaderChar"/>
    <w:uiPriority w:val="99"/>
    <w:semiHidden/>
    <w:rsid w:val="00DF5808"/>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DengXian Light" w:hAnsi="Calibri Light" w:cs="Calibri Light"/>
      <w:noProof w:val="0"/>
      <w:sz w:val="24"/>
      <w:szCs w:val="24"/>
      <w:lang w:eastAsia="es-ES"/>
    </w:rPr>
  </w:style>
  <w:style w:type="character" w:customStyle="1" w:styleId="MessageHeaderChar">
    <w:name w:val="Message Header Char"/>
    <w:basedOn w:val="DefaultParagraphFont"/>
    <w:link w:val="MessageHeader"/>
    <w:uiPriority w:val="99"/>
    <w:semiHidden/>
    <w:locked/>
    <w:rsid w:val="00DF5808"/>
    <w:rPr>
      <w:rFonts w:ascii="Calibri Light" w:eastAsia="DengXian Light" w:hAnsi="Calibri Light" w:cs="Calibri Light"/>
      <w:sz w:val="24"/>
      <w:szCs w:val="24"/>
      <w:shd w:val="pct20" w:color="auto" w:fill="auto"/>
      <w:lang w:val="es-ES"/>
    </w:rPr>
  </w:style>
  <w:style w:type="paragraph" w:styleId="NoSpacing">
    <w:name w:val="No Spacing"/>
    <w:uiPriority w:val="99"/>
    <w:qFormat/>
    <w:rsid w:val="00DF5808"/>
    <w:pPr>
      <w:suppressAutoHyphens/>
    </w:pPr>
    <w:rPr>
      <w:rFonts w:ascii="Times New Roman" w:hAnsi="Times New Roman"/>
      <w:lang w:eastAsia="zh-CN"/>
    </w:rPr>
  </w:style>
  <w:style w:type="paragraph" w:styleId="NormalWeb">
    <w:name w:val="Normal (Web)"/>
    <w:basedOn w:val="Normal"/>
    <w:uiPriority w:val="99"/>
    <w:semiHidden/>
    <w:rsid w:val="00DF5808"/>
    <w:rPr>
      <w:sz w:val="24"/>
      <w:szCs w:val="24"/>
    </w:rPr>
  </w:style>
  <w:style w:type="paragraph" w:styleId="NoteHeading">
    <w:name w:val="Note Heading"/>
    <w:basedOn w:val="Normal"/>
    <w:next w:val="Normal"/>
    <w:link w:val="NoteHeadingChar"/>
    <w:uiPriority w:val="99"/>
    <w:semiHidden/>
    <w:rsid w:val="00DF5808"/>
    <w:rPr>
      <w:noProof w:val="0"/>
      <w:lang w:eastAsia="es-ES"/>
    </w:rPr>
  </w:style>
  <w:style w:type="character" w:customStyle="1" w:styleId="NoteHeadingChar">
    <w:name w:val="Note Heading Char"/>
    <w:basedOn w:val="DefaultParagraphFont"/>
    <w:link w:val="NoteHeading"/>
    <w:uiPriority w:val="99"/>
    <w:semiHidden/>
    <w:locked/>
    <w:rsid w:val="00DF5808"/>
    <w:rPr>
      <w:rFonts w:ascii="Times New Roman" w:hAnsi="Times New Roman" w:cs="Times New Roman"/>
      <w:sz w:val="22"/>
      <w:szCs w:val="22"/>
      <w:lang w:val="es-ES"/>
    </w:rPr>
  </w:style>
  <w:style w:type="paragraph" w:styleId="PlainText">
    <w:name w:val="Plain Text"/>
    <w:basedOn w:val="Normal"/>
    <w:link w:val="PlainTextChar"/>
    <w:uiPriority w:val="99"/>
    <w:semiHidden/>
    <w:rsid w:val="00DF5808"/>
    <w:rPr>
      <w:rFonts w:ascii="Courier New" w:hAnsi="Courier New" w:cs="Courier New"/>
      <w:noProof w:val="0"/>
      <w:sz w:val="20"/>
      <w:szCs w:val="20"/>
      <w:lang w:eastAsia="es-ES"/>
    </w:rPr>
  </w:style>
  <w:style w:type="character" w:customStyle="1" w:styleId="PlainTextChar">
    <w:name w:val="Plain Text Char"/>
    <w:basedOn w:val="DefaultParagraphFont"/>
    <w:link w:val="PlainText"/>
    <w:uiPriority w:val="99"/>
    <w:semiHidden/>
    <w:locked/>
    <w:rsid w:val="00DF5808"/>
    <w:rPr>
      <w:rFonts w:ascii="Courier New" w:hAnsi="Courier New" w:cs="Courier New"/>
      <w:lang w:val="es-ES"/>
    </w:rPr>
  </w:style>
  <w:style w:type="paragraph" w:styleId="Quote">
    <w:name w:val="Quote"/>
    <w:basedOn w:val="Normal"/>
    <w:next w:val="Normal"/>
    <w:link w:val="QuoteChar"/>
    <w:uiPriority w:val="99"/>
    <w:qFormat/>
    <w:rsid w:val="00DF5808"/>
    <w:pPr>
      <w:spacing w:before="200" w:after="160"/>
      <w:ind w:left="864" w:right="864"/>
      <w:jc w:val="center"/>
    </w:pPr>
    <w:rPr>
      <w:i/>
      <w:iCs/>
      <w:noProof w:val="0"/>
      <w:color w:val="404040"/>
      <w:lang w:eastAsia="es-ES"/>
    </w:rPr>
  </w:style>
  <w:style w:type="character" w:customStyle="1" w:styleId="QuoteChar">
    <w:name w:val="Quote Char"/>
    <w:basedOn w:val="DefaultParagraphFont"/>
    <w:link w:val="Quote"/>
    <w:uiPriority w:val="99"/>
    <w:locked/>
    <w:rsid w:val="00DF5808"/>
    <w:rPr>
      <w:rFonts w:ascii="Times New Roman" w:hAnsi="Times New Roman" w:cs="Times New Roman"/>
      <w:i/>
      <w:iCs/>
      <w:color w:val="404040"/>
      <w:sz w:val="22"/>
      <w:szCs w:val="22"/>
      <w:lang w:val="es-ES"/>
    </w:rPr>
  </w:style>
  <w:style w:type="paragraph" w:styleId="Salutation">
    <w:name w:val="Salutation"/>
    <w:basedOn w:val="Normal"/>
    <w:next w:val="Normal"/>
    <w:link w:val="SalutationChar"/>
    <w:uiPriority w:val="99"/>
    <w:semiHidden/>
    <w:rsid w:val="00DF5808"/>
    <w:rPr>
      <w:noProof w:val="0"/>
      <w:lang w:eastAsia="es-ES"/>
    </w:rPr>
  </w:style>
  <w:style w:type="character" w:customStyle="1" w:styleId="SalutationChar">
    <w:name w:val="Salutation Char"/>
    <w:basedOn w:val="DefaultParagraphFont"/>
    <w:link w:val="Salutation"/>
    <w:uiPriority w:val="99"/>
    <w:semiHidden/>
    <w:locked/>
    <w:rsid w:val="00DF5808"/>
    <w:rPr>
      <w:rFonts w:ascii="Times New Roman" w:hAnsi="Times New Roman" w:cs="Times New Roman"/>
      <w:sz w:val="22"/>
      <w:szCs w:val="22"/>
      <w:lang w:val="es-ES"/>
    </w:rPr>
  </w:style>
  <w:style w:type="paragraph" w:styleId="Signature">
    <w:name w:val="Signature"/>
    <w:basedOn w:val="Normal"/>
    <w:link w:val="SignatureChar"/>
    <w:uiPriority w:val="99"/>
    <w:semiHidden/>
    <w:rsid w:val="00DF5808"/>
    <w:pPr>
      <w:ind w:left="4320"/>
    </w:pPr>
    <w:rPr>
      <w:noProof w:val="0"/>
      <w:lang w:eastAsia="es-ES"/>
    </w:rPr>
  </w:style>
  <w:style w:type="character" w:customStyle="1" w:styleId="SignatureChar">
    <w:name w:val="Signature Char"/>
    <w:basedOn w:val="DefaultParagraphFont"/>
    <w:link w:val="Signature"/>
    <w:uiPriority w:val="99"/>
    <w:semiHidden/>
    <w:locked/>
    <w:rsid w:val="00DF5808"/>
    <w:rPr>
      <w:rFonts w:ascii="Times New Roman" w:hAnsi="Times New Roman" w:cs="Times New Roman"/>
      <w:sz w:val="22"/>
      <w:szCs w:val="22"/>
      <w:lang w:val="es-ES"/>
    </w:rPr>
  </w:style>
  <w:style w:type="paragraph" w:styleId="Subtitle">
    <w:name w:val="Subtitle"/>
    <w:basedOn w:val="Normal"/>
    <w:next w:val="Normal"/>
    <w:link w:val="SubtitleChar"/>
    <w:uiPriority w:val="99"/>
    <w:qFormat/>
    <w:rsid w:val="00DF5808"/>
    <w:pPr>
      <w:spacing w:after="60"/>
      <w:jc w:val="center"/>
      <w:outlineLvl w:val="1"/>
    </w:pPr>
    <w:rPr>
      <w:rFonts w:ascii="Calibri Light" w:eastAsia="DengXian Light" w:hAnsi="Calibri Light" w:cs="Calibri Light"/>
      <w:noProof w:val="0"/>
      <w:sz w:val="24"/>
      <w:szCs w:val="24"/>
      <w:lang w:eastAsia="es-ES"/>
    </w:rPr>
  </w:style>
  <w:style w:type="character" w:customStyle="1" w:styleId="SubtitleChar">
    <w:name w:val="Subtitle Char"/>
    <w:basedOn w:val="DefaultParagraphFont"/>
    <w:link w:val="Subtitle"/>
    <w:uiPriority w:val="99"/>
    <w:locked/>
    <w:rsid w:val="00DF5808"/>
    <w:rPr>
      <w:rFonts w:ascii="Calibri Light" w:eastAsia="DengXian Light" w:hAnsi="Calibri Light" w:cs="Calibri Light"/>
      <w:sz w:val="24"/>
      <w:szCs w:val="24"/>
      <w:lang w:val="es-ES"/>
    </w:rPr>
  </w:style>
  <w:style w:type="paragraph" w:styleId="TableofAuthorities">
    <w:name w:val="table of authorities"/>
    <w:basedOn w:val="Normal"/>
    <w:next w:val="Normal"/>
    <w:uiPriority w:val="99"/>
    <w:semiHidden/>
    <w:rsid w:val="00DF5808"/>
    <w:pPr>
      <w:ind w:left="220" w:hanging="220"/>
    </w:pPr>
  </w:style>
  <w:style w:type="paragraph" w:styleId="TableofFigures">
    <w:name w:val="table of figures"/>
    <w:basedOn w:val="Normal"/>
    <w:next w:val="Normal"/>
    <w:uiPriority w:val="99"/>
    <w:semiHidden/>
    <w:rsid w:val="00DF5808"/>
  </w:style>
  <w:style w:type="paragraph" w:styleId="TOAHeading">
    <w:name w:val="toa heading"/>
    <w:basedOn w:val="Normal"/>
    <w:next w:val="Normal"/>
    <w:uiPriority w:val="99"/>
    <w:semiHidden/>
    <w:rsid w:val="00DF5808"/>
    <w:pPr>
      <w:spacing w:before="120"/>
    </w:pPr>
    <w:rPr>
      <w:rFonts w:ascii="Calibri Light" w:eastAsia="DengXian Light" w:hAnsi="Calibri Light" w:cs="Calibri Light"/>
      <w:b/>
      <w:bCs/>
      <w:sz w:val="24"/>
      <w:szCs w:val="24"/>
    </w:rPr>
  </w:style>
  <w:style w:type="paragraph" w:styleId="TOC1">
    <w:name w:val="toc 1"/>
    <w:basedOn w:val="Normal"/>
    <w:next w:val="Normal"/>
    <w:autoRedefine/>
    <w:uiPriority w:val="99"/>
    <w:semiHidden/>
    <w:rsid w:val="00DF5808"/>
  </w:style>
  <w:style w:type="paragraph" w:styleId="TOC2">
    <w:name w:val="toc 2"/>
    <w:basedOn w:val="Normal"/>
    <w:next w:val="Normal"/>
    <w:autoRedefine/>
    <w:uiPriority w:val="99"/>
    <w:semiHidden/>
    <w:rsid w:val="00DF5808"/>
    <w:pPr>
      <w:ind w:left="220"/>
    </w:pPr>
  </w:style>
  <w:style w:type="paragraph" w:styleId="TOC3">
    <w:name w:val="toc 3"/>
    <w:basedOn w:val="Normal"/>
    <w:next w:val="Normal"/>
    <w:autoRedefine/>
    <w:uiPriority w:val="99"/>
    <w:semiHidden/>
    <w:rsid w:val="00DF5808"/>
    <w:pPr>
      <w:ind w:left="440"/>
    </w:pPr>
  </w:style>
  <w:style w:type="paragraph" w:styleId="TOC4">
    <w:name w:val="toc 4"/>
    <w:basedOn w:val="Normal"/>
    <w:next w:val="Normal"/>
    <w:autoRedefine/>
    <w:uiPriority w:val="99"/>
    <w:semiHidden/>
    <w:rsid w:val="00DF5808"/>
    <w:pPr>
      <w:ind w:left="660"/>
    </w:pPr>
  </w:style>
  <w:style w:type="paragraph" w:styleId="TOC5">
    <w:name w:val="toc 5"/>
    <w:basedOn w:val="Normal"/>
    <w:next w:val="Normal"/>
    <w:autoRedefine/>
    <w:uiPriority w:val="99"/>
    <w:semiHidden/>
    <w:rsid w:val="00DF5808"/>
    <w:pPr>
      <w:ind w:left="880"/>
    </w:pPr>
  </w:style>
  <w:style w:type="paragraph" w:styleId="TOC6">
    <w:name w:val="toc 6"/>
    <w:basedOn w:val="Normal"/>
    <w:next w:val="Normal"/>
    <w:autoRedefine/>
    <w:uiPriority w:val="99"/>
    <w:semiHidden/>
    <w:rsid w:val="00DF5808"/>
    <w:pPr>
      <w:ind w:left="1100"/>
    </w:pPr>
  </w:style>
  <w:style w:type="paragraph" w:styleId="TOC7">
    <w:name w:val="toc 7"/>
    <w:basedOn w:val="Normal"/>
    <w:next w:val="Normal"/>
    <w:autoRedefine/>
    <w:uiPriority w:val="99"/>
    <w:semiHidden/>
    <w:rsid w:val="00DF5808"/>
    <w:pPr>
      <w:ind w:left="1320"/>
    </w:pPr>
  </w:style>
  <w:style w:type="paragraph" w:styleId="TOC8">
    <w:name w:val="toc 8"/>
    <w:basedOn w:val="Normal"/>
    <w:next w:val="Normal"/>
    <w:autoRedefine/>
    <w:uiPriority w:val="99"/>
    <w:semiHidden/>
    <w:rsid w:val="00DF5808"/>
    <w:pPr>
      <w:ind w:left="1540"/>
    </w:pPr>
  </w:style>
  <w:style w:type="paragraph" w:styleId="TOC9">
    <w:name w:val="toc 9"/>
    <w:basedOn w:val="Normal"/>
    <w:next w:val="Normal"/>
    <w:autoRedefine/>
    <w:uiPriority w:val="99"/>
    <w:semiHidden/>
    <w:rsid w:val="00DF5808"/>
    <w:pPr>
      <w:ind w:left="1760"/>
    </w:pPr>
  </w:style>
  <w:style w:type="paragraph" w:styleId="TOCHeading">
    <w:name w:val="TOC Heading"/>
    <w:basedOn w:val="Heading1"/>
    <w:next w:val="Normal"/>
    <w:uiPriority w:val="99"/>
    <w:qFormat/>
    <w:rsid w:val="00DF5808"/>
    <w:pPr>
      <w:keepLines w:val="0"/>
      <w:spacing w:before="240" w:after="60"/>
      <w:ind w:left="0" w:firstLine="0"/>
      <w:outlineLvl w:val="9"/>
    </w:pPr>
    <w:rPr>
      <w:rFonts w:ascii="Calibri Light" w:eastAsia="DengXian Light" w:hAnsi="Calibri Light" w:cs="Calibri Light"/>
      <w:kern w:val="32"/>
      <w:sz w:val="32"/>
      <w:szCs w:val="32"/>
    </w:rPr>
  </w:style>
  <w:style w:type="paragraph" w:customStyle="1" w:styleId="HeadingStrongCentred">
    <w:name w:val="Heading Strong Centred"/>
    <w:basedOn w:val="HeadingStrong"/>
    <w:uiPriority w:val="99"/>
    <w:rsid w:val="00DF5808"/>
    <w:pPr>
      <w:jc w:val="center"/>
    </w:pPr>
  </w:style>
  <w:style w:type="character" w:customStyle="1" w:styleId="UnresolvedMention1">
    <w:name w:val="Unresolved Mention1"/>
    <w:uiPriority w:val="99"/>
    <w:semiHidden/>
    <w:rsid w:val="00DF5808"/>
    <w:rPr>
      <w:color w:val="auto"/>
      <w:shd w:val="clear" w:color="auto" w:fill="auto"/>
    </w:rPr>
  </w:style>
  <w:style w:type="paragraph" w:customStyle="1" w:styleId="TitleA">
    <w:name w:val="Title A"/>
    <w:basedOn w:val="Title"/>
    <w:uiPriority w:val="99"/>
    <w:rsid w:val="00DF5808"/>
  </w:style>
  <w:style w:type="paragraph" w:customStyle="1" w:styleId="TitleB">
    <w:name w:val="Title B"/>
    <w:basedOn w:val="Heading1"/>
    <w:uiPriority w:val="99"/>
    <w:rsid w:val="00DF5808"/>
  </w:style>
  <w:style w:type="character" w:customStyle="1" w:styleId="StrongUnderline">
    <w:name w:val="Strong Underline"/>
    <w:uiPriority w:val="99"/>
    <w:rsid w:val="00DF5808"/>
    <w:rPr>
      <w:b/>
      <w:bCs/>
      <w:u w:val="single"/>
    </w:rPr>
  </w:style>
  <w:style w:type="character" w:customStyle="1" w:styleId="EmphasisStrongUnd">
    <w:name w:val="Emphasis Strong Und"/>
    <w:uiPriority w:val="99"/>
    <w:rsid w:val="00DF5808"/>
    <w:rPr>
      <w:b/>
      <w:bCs/>
      <w:i/>
      <w:iCs/>
      <w:u w:val="single"/>
    </w:rPr>
  </w:style>
  <w:style w:type="paragraph" w:customStyle="1" w:styleId="normal10pt">
    <w:name w:val="normal_10pt"/>
    <w:basedOn w:val="Normal"/>
    <w:uiPriority w:val="99"/>
    <w:rsid w:val="00DF5808"/>
    <w:rPr>
      <w:sz w:val="20"/>
      <w:szCs w:val="20"/>
    </w:rPr>
  </w:style>
  <w:style w:type="paragraph" w:customStyle="1" w:styleId="Normal10pt0">
    <w:name w:val="Normal 10pt"/>
    <w:basedOn w:val="Normal"/>
    <w:uiPriority w:val="99"/>
    <w:rsid w:val="00DF5808"/>
    <w:pPr>
      <w:ind w:left="142" w:hanging="142"/>
    </w:pPr>
    <w:rPr>
      <w:sz w:val="20"/>
      <w:szCs w:val="20"/>
    </w:rPr>
  </w:style>
  <w:style w:type="character" w:customStyle="1" w:styleId="LightShading-Accent2Char">
    <w:name w:val="Light Shading - Accent 2 Char"/>
    <w:link w:val="LightShading-Accent2"/>
    <w:uiPriority w:val="99"/>
    <w:locked/>
    <w:rsid w:val="00DF5808"/>
    <w:rPr>
      <w:rFonts w:ascii="Times New Roman" w:hAnsi="Times New Roman" w:cs="Times New Roman"/>
      <w:i/>
      <w:iCs/>
      <w:color w:val="4472C4"/>
      <w:sz w:val="22"/>
      <w:szCs w:val="22"/>
      <w:lang w:val="es-ES" w:eastAsia="es-ES"/>
    </w:rPr>
  </w:style>
  <w:style w:type="character" w:customStyle="1" w:styleId="ColorfulGrid-Accent1Char">
    <w:name w:val="Colorful Grid - Accent 1 Char"/>
    <w:link w:val="ColorfulGrid-Accent1"/>
    <w:uiPriority w:val="99"/>
    <w:locked/>
    <w:rsid w:val="00DF5808"/>
    <w:rPr>
      <w:rFonts w:ascii="Times New Roman" w:hAnsi="Times New Roman" w:cs="Times New Roman"/>
      <w:i/>
      <w:iCs/>
      <w:color w:val="404040"/>
      <w:sz w:val="22"/>
      <w:szCs w:val="22"/>
      <w:lang w:val="es-ES" w:eastAsia="es-ES"/>
    </w:rPr>
  </w:style>
  <w:style w:type="table" w:styleId="LightShading-Accent2">
    <w:name w:val="Light Shading Accent 2"/>
    <w:basedOn w:val="TableNormal"/>
    <w:link w:val="LightShading-Accent2Char"/>
    <w:uiPriority w:val="99"/>
    <w:semiHidden/>
    <w:rsid w:val="00DF5808"/>
    <w:rPr>
      <w:rFonts w:ascii="Times New Roman" w:hAnsi="Times New Roman"/>
      <w:i/>
      <w:iCs/>
      <w:color w:val="4472C4"/>
    </w:rPr>
    <w:tblPr>
      <w:tblStyleRowBandSize w:val="1"/>
      <w:tblStyleColBandSize w:val="1"/>
      <w:tblBorders>
        <w:top w:val="single" w:sz="8" w:space="0" w:color="ED7D31"/>
        <w:bottom w:val="single" w:sz="8" w:space="0" w:color="ED7D31"/>
      </w:tblBorders>
    </w:tblPr>
    <w:tblStylePr w:type="firstRow">
      <w:pPr>
        <w:spacing w:before="0" w:after="0"/>
      </w:pPr>
      <w:tblPr/>
      <w:tcPr>
        <w:tcBorders>
          <w:top w:val="single" w:sz="8" w:space="0" w:color="ED7D31"/>
          <w:left w:val="nil"/>
          <w:bottom w:val="single" w:sz="8" w:space="0" w:color="ED7D31"/>
          <w:right w:val="nil"/>
          <w:insideH w:val="nil"/>
          <w:insideV w:val="nil"/>
        </w:tcBorders>
      </w:tcPr>
    </w:tblStylePr>
    <w:tblStylePr w:type="lastRow">
      <w:pPr>
        <w:spacing w:before="0" w:after="0"/>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ColorfulGrid-Accent1">
    <w:name w:val="Colorful Grid Accent 1"/>
    <w:basedOn w:val="TableNormal"/>
    <w:link w:val="ColorfulGrid-Accent1Char"/>
    <w:uiPriority w:val="99"/>
    <w:semiHidden/>
    <w:rsid w:val="00DF5808"/>
    <w:rPr>
      <w:rFonts w:ascii="Times New Roman" w:hAnsi="Times New Roman"/>
      <w:i/>
      <w:iCs/>
      <w:color w:val="404040"/>
    </w:rPr>
    <w:tblPr>
      <w:tblStyleRowBandSize w:val="1"/>
      <w:tblStyleColBandSize w:val="1"/>
      <w:tblBorders>
        <w:insideH w:val="single" w:sz="4" w:space="0" w:color="FFFFFF"/>
      </w:tblBorders>
    </w:tblPr>
    <w:tcPr>
      <w:shd w:val="clear" w:color="auto" w:fill="D9E2F3"/>
    </w:tcPr>
    <w:tblStylePr w:type="firstRow">
      <w:tblPr/>
      <w:tcPr>
        <w:shd w:val="clear" w:color="auto" w:fill="B4C6E7"/>
      </w:tcPr>
    </w:tblStylePr>
    <w:tblStylePr w:type="lastRow">
      <w:tblPr/>
      <w:tcPr>
        <w:shd w:val="clear" w:color="auto" w:fill="B4C6E7"/>
      </w:tcPr>
    </w:tblStylePr>
    <w:tblStylePr w:type="firstCol">
      <w:tblPr/>
      <w:tcPr>
        <w:shd w:val="clear" w:color="auto" w:fill="2F5496"/>
      </w:tcPr>
    </w:tblStylePr>
    <w:tblStylePr w:type="lastCol">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styleId="CommentReference">
    <w:name w:val="annotation reference"/>
    <w:basedOn w:val="DefaultParagraphFont"/>
    <w:uiPriority w:val="99"/>
    <w:semiHidden/>
    <w:rsid w:val="00DF5808"/>
    <w:rPr>
      <w:sz w:val="16"/>
      <w:szCs w:val="16"/>
    </w:rPr>
  </w:style>
  <w:style w:type="paragraph" w:styleId="Revision">
    <w:name w:val="Revision"/>
    <w:hidden/>
    <w:uiPriority w:val="99"/>
    <w:semiHidden/>
    <w:rsid w:val="00DF5808"/>
    <w:rPr>
      <w:rFonts w:ascii="Times New Roman" w:hAnsi="Times New Roman"/>
      <w:noProof/>
      <w:lang w:eastAsia="zh-CN"/>
    </w:rPr>
  </w:style>
  <w:style w:type="character" w:customStyle="1" w:styleId="Hipervnculo1">
    <w:name w:val="Hipervínculo1"/>
    <w:uiPriority w:val="99"/>
    <w:rsid w:val="000C34F4"/>
    <w:rPr>
      <w:color w:val="0000FF"/>
      <w:u w:val="single"/>
    </w:rPr>
  </w:style>
  <w:style w:type="character" w:customStyle="1" w:styleId="Mencinsinresolver1">
    <w:name w:val="Mención sin resolver1"/>
    <w:basedOn w:val="DefaultParagraphFont"/>
    <w:uiPriority w:val="99"/>
    <w:semiHidden/>
    <w:rsid w:val="000C34F4"/>
    <w:rPr>
      <w:color w:val="auto"/>
      <w:shd w:val="clear" w:color="auto" w:fill="auto"/>
    </w:rPr>
  </w:style>
  <w:style w:type="paragraph" w:customStyle="1" w:styleId="TableFigureNote">
    <w:name w:val="Table/Figure Note"/>
    <w:basedOn w:val="Normal"/>
    <w:link w:val="TableFigureNoteChar"/>
    <w:uiPriority w:val="99"/>
    <w:rsid w:val="006407ED"/>
    <w:pPr>
      <w:suppressAutoHyphens w:val="0"/>
      <w:spacing w:before="40" w:line="220" w:lineRule="exact"/>
      <w:ind w:left="144" w:hanging="144"/>
      <w:jc w:val="both"/>
    </w:pPr>
    <w:rPr>
      <w:noProof w:val="0"/>
      <w:sz w:val="20"/>
      <w:szCs w:val="20"/>
      <w:lang w:eastAsia="es-ES"/>
    </w:rPr>
  </w:style>
  <w:style w:type="character" w:customStyle="1" w:styleId="TableFigureNoteChar">
    <w:name w:val="Table/Figure Note Char"/>
    <w:link w:val="TableFigureNote"/>
    <w:uiPriority w:val="99"/>
    <w:locked/>
    <w:rsid w:val="006407ED"/>
    <w:rPr>
      <w:rFonts w:eastAsia="SimSun"/>
      <w:sz w:val="24"/>
      <w:szCs w:val="24"/>
      <w:lang w:val="es-ES" w:eastAsia="es-ES"/>
    </w:rPr>
  </w:style>
  <w:style w:type="character" w:customStyle="1" w:styleId="CommentTextChar2">
    <w:name w:val="Comment Text Char2"/>
    <w:uiPriority w:val="99"/>
    <w:semiHidden/>
    <w:locked/>
    <w:rsid w:val="00F66433"/>
    <w:rPr>
      <w:rFonts w:eastAsia="Times New Roman"/>
      <w:lang w:eastAsia="en-US"/>
    </w:rPr>
  </w:style>
  <w:style w:type="character" w:customStyle="1" w:styleId="Mencinsinresolver2">
    <w:name w:val="Mención sin resolver2"/>
    <w:basedOn w:val="DefaultParagraphFont"/>
    <w:uiPriority w:val="99"/>
    <w:semiHidden/>
    <w:unhideWhenUsed/>
    <w:rsid w:val="007967C1"/>
    <w:rPr>
      <w:color w:val="605E5C"/>
      <w:shd w:val="clear" w:color="auto" w:fill="E1DFDD"/>
    </w:rPr>
  </w:style>
  <w:style w:type="character" w:styleId="FollowedHyperlink">
    <w:name w:val="FollowedHyperlink"/>
    <w:basedOn w:val="DefaultParagraphFont"/>
    <w:uiPriority w:val="99"/>
    <w:semiHidden/>
    <w:unhideWhenUsed/>
    <w:rsid w:val="009039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https://www.ema.europa.eu" TargetMode="External"/><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www.notificaRAM.e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ema.europa.eu"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www.notificaRA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3821B-135B-4781-9063-49B3AA7F6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8204</Words>
  <Characters>42430</Characters>
  <Application>Microsoft Office Word</Application>
  <DocSecurity>0</DocSecurity>
  <Lines>353</Lines>
  <Paragraphs>101</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Vaxchora, Cholera Vaccine (recombinant, live, oral)</vt:lpstr>
      <vt:lpstr>Vaxchora, INN-Vibrio cholerae</vt:lpstr>
      <vt:lpstr>Vaxchora, INN-Vibrio cholerae</vt:lpstr>
    </vt:vector>
  </TitlesOfParts>
  <Manager/>
  <Company/>
  <LinksUpToDate>false</LinksUpToDate>
  <CharactersWithSpaces>50533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Vaxchora, Cholera Vaccine (recombinant, live, oral)</dc:title>
  <dc:subject>EPAR</dc:subject>
  <dc:creator>CHMP</dc:creator>
  <cp:keywords>Vaxchora, Cholera Vaccine (recombinant, live, oral)</cp:keywords>
  <dc:description/>
  <cp:lastModifiedBy>Estelle Truchet</cp:lastModifiedBy>
  <cp:revision>5</cp:revision>
  <dcterms:created xsi:type="dcterms:W3CDTF">2024-12-08T13:41:00Z</dcterms:created>
  <dcterms:modified xsi:type="dcterms:W3CDTF">2025-01-20T15:52:00Z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0x010100B7E0B7FD60883B4595285877F6B2DA8F</vt:lpwstr>
  </property>
</Properties>
</file>